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2D8C" w14:textId="5BEB7AF8" w:rsidR="00E203C2" w:rsidRDefault="00E203C2" w:rsidP="00E203C2">
      <w:r>
        <w:rPr>
          <w:noProof/>
          <w:lang w:eastAsia="en-GB" w:bidi="ar-SA"/>
        </w:rPr>
        <w:drawing>
          <wp:inline distT="0" distB="0" distL="0" distR="0" wp14:anchorId="45850748" wp14:editId="73D954B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D0DFA13" w14:textId="77777777" w:rsidR="00E203C2" w:rsidRDefault="00E203C2" w:rsidP="00E203C2"/>
    <w:p w14:paraId="2C3F76CE" w14:textId="5A0310EB" w:rsidR="00CA641D" w:rsidRPr="004C2063" w:rsidRDefault="00855C5C" w:rsidP="00CA641D">
      <w:pPr>
        <w:rPr>
          <w:b/>
          <w:sz w:val="28"/>
          <w:szCs w:val="28"/>
        </w:rPr>
      </w:pPr>
      <w:r>
        <w:rPr>
          <w:b/>
          <w:sz w:val="28"/>
          <w:szCs w:val="28"/>
        </w:rPr>
        <w:t>25 October 2019</w:t>
      </w:r>
    </w:p>
    <w:p w14:paraId="19BD96C1" w14:textId="61D1100C" w:rsidR="00CA641D" w:rsidRPr="004C2063" w:rsidRDefault="00855C5C" w:rsidP="00CA641D">
      <w:pPr>
        <w:rPr>
          <w:b/>
          <w:sz w:val="28"/>
          <w:szCs w:val="28"/>
        </w:rPr>
      </w:pPr>
      <w:r>
        <w:rPr>
          <w:b/>
          <w:sz w:val="28"/>
          <w:szCs w:val="28"/>
        </w:rPr>
        <w:t>[100-19</w:t>
      </w:r>
      <w:bookmarkStart w:id="0" w:name="_GoBack"/>
      <w:bookmarkEnd w:id="0"/>
      <w:r w:rsidR="00CA641D" w:rsidRPr="004C2063">
        <w:rPr>
          <w:b/>
          <w:sz w:val="28"/>
          <w:szCs w:val="28"/>
        </w:rPr>
        <w:t>]</w:t>
      </w:r>
    </w:p>
    <w:p w14:paraId="194D1C65" w14:textId="77777777" w:rsidR="0057615C" w:rsidRPr="0057615C" w:rsidRDefault="0057615C" w:rsidP="00690206">
      <w:pPr>
        <w:pStyle w:val="FSTitle"/>
        <w:rPr>
          <w:b/>
          <w:sz w:val="22"/>
        </w:rPr>
      </w:pPr>
    </w:p>
    <w:p w14:paraId="23AEDFDB" w14:textId="77777777" w:rsidR="00BF1718" w:rsidRPr="00560A21" w:rsidRDefault="00BF1718" w:rsidP="00BF1718">
      <w:pPr>
        <w:pStyle w:val="FSTitle"/>
        <w:rPr>
          <w:b/>
        </w:rPr>
      </w:pPr>
      <w:r w:rsidRPr="00560A21">
        <w:rPr>
          <w:b/>
        </w:rPr>
        <w:t>Supporting document 1</w:t>
      </w:r>
    </w:p>
    <w:p w14:paraId="06CEA7A8" w14:textId="77777777" w:rsidR="00BF1718" w:rsidRPr="00560A21" w:rsidRDefault="00BF1718" w:rsidP="00BF1718"/>
    <w:p w14:paraId="41029C5E" w14:textId="77777777" w:rsidR="00BF1718" w:rsidRPr="00560A21" w:rsidRDefault="00BF1718" w:rsidP="00BF1718">
      <w:pPr>
        <w:pStyle w:val="FSTitle"/>
        <w:rPr>
          <w:b/>
        </w:rPr>
      </w:pPr>
      <w:r w:rsidRPr="00560A21">
        <w:rPr>
          <w:b/>
        </w:rPr>
        <w:t>International approaches to irradiation of herbs and spices and definitions in Codex text</w:t>
      </w:r>
      <w:r>
        <w:rPr>
          <w:b/>
        </w:rPr>
        <w:t>s</w:t>
      </w:r>
      <w:r w:rsidRPr="00560A21">
        <w:rPr>
          <w:b/>
        </w:rPr>
        <w:t xml:space="preserve"> – Application A1163</w:t>
      </w:r>
    </w:p>
    <w:p w14:paraId="1C358ECD" w14:textId="77777777" w:rsidR="00BF1718" w:rsidRPr="00560A21" w:rsidRDefault="00BF1718" w:rsidP="00BF1718">
      <w:pPr>
        <w:rPr>
          <w:b/>
        </w:rPr>
      </w:pPr>
    </w:p>
    <w:p w14:paraId="4DB42158" w14:textId="77777777" w:rsidR="00BF1718" w:rsidRPr="00560A21" w:rsidRDefault="00BF1718" w:rsidP="00BF1718">
      <w:pPr>
        <w:pStyle w:val="FSTitle"/>
        <w:rPr>
          <w:b/>
        </w:rPr>
      </w:pPr>
      <w:r w:rsidRPr="00560A21">
        <w:rPr>
          <w:b/>
        </w:rPr>
        <w:t>Food Irradiation definition of herbs and spices</w:t>
      </w:r>
    </w:p>
    <w:p w14:paraId="4E8C9985" w14:textId="77777777" w:rsidR="00E203C2" w:rsidRPr="00B37BF0" w:rsidRDefault="00E203C2" w:rsidP="00E203C2">
      <w:pPr>
        <w:pBdr>
          <w:bottom w:val="single" w:sz="12" w:space="1" w:color="auto"/>
        </w:pBdr>
        <w:spacing w:line="280" w:lineRule="exact"/>
        <w:rPr>
          <w:rFonts w:cs="Arial"/>
          <w:bCs/>
        </w:rPr>
      </w:pPr>
    </w:p>
    <w:p w14:paraId="02EA6507" w14:textId="77777777" w:rsidR="00E203C2" w:rsidRPr="00B37BF0" w:rsidRDefault="00E203C2" w:rsidP="00E203C2"/>
    <w:p w14:paraId="75326B9F" w14:textId="77777777" w:rsidR="00092CDA" w:rsidRPr="00092CDA" w:rsidRDefault="00092CDA" w:rsidP="006700E2">
      <w:pPr>
        <w:pStyle w:val="Heading1"/>
      </w:pPr>
      <w:bookmarkStart w:id="1" w:name="_Toc286391001"/>
      <w:bookmarkStart w:id="2" w:name="_Toc300933414"/>
      <w:bookmarkStart w:id="3" w:name="_Toc7682310"/>
      <w:r w:rsidRPr="00092CDA">
        <w:t xml:space="preserve">Executive </w:t>
      </w:r>
      <w:r w:rsidR="00B12F1E">
        <w:t>s</w:t>
      </w:r>
      <w:r w:rsidRPr="00092CDA">
        <w:t>ummary</w:t>
      </w:r>
      <w:bookmarkEnd w:id="1"/>
      <w:bookmarkEnd w:id="2"/>
      <w:bookmarkEnd w:id="3"/>
    </w:p>
    <w:p w14:paraId="7A3B7841" w14:textId="3C612A44" w:rsidR="00BF1718" w:rsidRDefault="00BF1718" w:rsidP="00BF1718">
      <w:r>
        <w:t xml:space="preserve">This supporting document has been prepared to </w:t>
      </w:r>
      <w:r w:rsidR="00603FA8">
        <w:t>provide more detail</w:t>
      </w:r>
      <w:r w:rsidR="005A162D">
        <w:t xml:space="preserve">ed </w:t>
      </w:r>
      <w:r w:rsidR="00603FA8">
        <w:t xml:space="preserve">information </w:t>
      </w:r>
      <w:r w:rsidR="005A162D">
        <w:t>on</w:t>
      </w:r>
      <w:r w:rsidR="00603FA8">
        <w:t xml:space="preserve"> section 1.4 of the Call for Submissions document. This </w:t>
      </w:r>
      <w:r w:rsidR="009F6691">
        <w:t xml:space="preserve">is </w:t>
      </w:r>
      <w:r w:rsidR="00603FA8">
        <w:t xml:space="preserve">in relation to </w:t>
      </w:r>
      <w:r>
        <w:t>the international approaches to the irradiation of herbs and spices, and the definitions for herbs and spices contained in Codex texts.</w:t>
      </w:r>
    </w:p>
    <w:p w14:paraId="2A57A7CE" w14:textId="77777777" w:rsidR="00092CDA" w:rsidRDefault="00092CDA" w:rsidP="00690206"/>
    <w:p w14:paraId="7FCD49BF" w14:textId="77777777" w:rsidR="00092CDA" w:rsidRDefault="00092CDA" w:rsidP="00690206"/>
    <w:p w14:paraId="01932245" w14:textId="77777777" w:rsidR="00092CDA" w:rsidRDefault="00092CDA" w:rsidP="00690206">
      <w:pPr>
        <w:sectPr w:rsidR="00092CDA"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04966A8A" w14:textId="77777777" w:rsidR="00562917" w:rsidRPr="00D9620E" w:rsidRDefault="00562917" w:rsidP="006700E2">
      <w:pPr>
        <w:pStyle w:val="TOCHeading"/>
      </w:pPr>
      <w:r w:rsidRPr="00D9620E">
        <w:lastRenderedPageBreak/>
        <w:t xml:space="preserve">Table of </w:t>
      </w:r>
      <w:r w:rsidR="00A77BFA" w:rsidRPr="00D9620E">
        <w:t>c</w:t>
      </w:r>
      <w:r w:rsidRPr="00D9620E">
        <w:t>ontents</w:t>
      </w:r>
    </w:p>
    <w:p w14:paraId="38B24345" w14:textId="22DE863A" w:rsidR="005A162D"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7682310" w:history="1">
        <w:r w:rsidR="005A162D" w:rsidRPr="00B76C24">
          <w:rPr>
            <w:rStyle w:val="Hyperlink"/>
            <w:noProof/>
          </w:rPr>
          <w:t>Executive summary</w:t>
        </w:r>
        <w:r w:rsidR="005A162D">
          <w:rPr>
            <w:noProof/>
            <w:webHidden/>
          </w:rPr>
          <w:tab/>
        </w:r>
        <w:r w:rsidR="005A162D">
          <w:rPr>
            <w:noProof/>
            <w:webHidden/>
          </w:rPr>
          <w:fldChar w:fldCharType="begin"/>
        </w:r>
        <w:r w:rsidR="005A162D">
          <w:rPr>
            <w:noProof/>
            <w:webHidden/>
          </w:rPr>
          <w:instrText xml:space="preserve"> PAGEREF _Toc7682310 \h </w:instrText>
        </w:r>
        <w:r w:rsidR="005A162D">
          <w:rPr>
            <w:noProof/>
            <w:webHidden/>
          </w:rPr>
        </w:r>
        <w:r w:rsidR="005A162D">
          <w:rPr>
            <w:noProof/>
            <w:webHidden/>
          </w:rPr>
          <w:fldChar w:fldCharType="separate"/>
        </w:r>
        <w:r w:rsidR="005A162D">
          <w:rPr>
            <w:noProof/>
            <w:webHidden/>
          </w:rPr>
          <w:t>i</w:t>
        </w:r>
        <w:r w:rsidR="005A162D">
          <w:rPr>
            <w:noProof/>
            <w:webHidden/>
          </w:rPr>
          <w:fldChar w:fldCharType="end"/>
        </w:r>
      </w:hyperlink>
    </w:p>
    <w:p w14:paraId="29CB7553" w14:textId="0E7E778A" w:rsidR="005A162D" w:rsidRDefault="00BC5C5F">
      <w:pPr>
        <w:pStyle w:val="TOC1"/>
        <w:tabs>
          <w:tab w:val="left" w:pos="440"/>
          <w:tab w:val="right" w:leader="dot" w:pos="9060"/>
        </w:tabs>
        <w:rPr>
          <w:rFonts w:eastAsiaTheme="minorEastAsia" w:cstheme="minorBidi"/>
          <w:b w:val="0"/>
          <w:bCs w:val="0"/>
          <w:caps w:val="0"/>
          <w:noProof/>
          <w:sz w:val="22"/>
          <w:szCs w:val="22"/>
          <w:lang w:eastAsia="en-GB" w:bidi="ar-SA"/>
        </w:rPr>
      </w:pPr>
      <w:hyperlink w:anchor="_Toc7682311" w:history="1">
        <w:r w:rsidR="005A162D" w:rsidRPr="00B76C24">
          <w:rPr>
            <w:rStyle w:val="Hyperlink"/>
            <w:noProof/>
          </w:rPr>
          <w:t>1</w:t>
        </w:r>
        <w:r w:rsidR="005A162D">
          <w:rPr>
            <w:rFonts w:eastAsiaTheme="minorEastAsia" w:cstheme="minorBidi"/>
            <w:b w:val="0"/>
            <w:bCs w:val="0"/>
            <w:caps w:val="0"/>
            <w:noProof/>
            <w:sz w:val="22"/>
            <w:szCs w:val="22"/>
            <w:lang w:eastAsia="en-GB" w:bidi="ar-SA"/>
          </w:rPr>
          <w:tab/>
        </w:r>
        <w:r w:rsidR="005A162D" w:rsidRPr="00B76C24">
          <w:rPr>
            <w:rStyle w:val="Hyperlink"/>
            <w:noProof/>
          </w:rPr>
          <w:t>International</w:t>
        </w:r>
        <w:r w:rsidR="005A162D">
          <w:rPr>
            <w:noProof/>
            <w:webHidden/>
          </w:rPr>
          <w:tab/>
        </w:r>
        <w:r w:rsidR="005A162D">
          <w:rPr>
            <w:noProof/>
            <w:webHidden/>
          </w:rPr>
          <w:fldChar w:fldCharType="begin"/>
        </w:r>
        <w:r w:rsidR="005A162D">
          <w:rPr>
            <w:noProof/>
            <w:webHidden/>
          </w:rPr>
          <w:instrText xml:space="preserve"> PAGEREF _Toc7682311 \h </w:instrText>
        </w:r>
        <w:r w:rsidR="005A162D">
          <w:rPr>
            <w:noProof/>
            <w:webHidden/>
          </w:rPr>
        </w:r>
        <w:r w:rsidR="005A162D">
          <w:rPr>
            <w:noProof/>
            <w:webHidden/>
          </w:rPr>
          <w:fldChar w:fldCharType="separate"/>
        </w:r>
        <w:r w:rsidR="005A162D">
          <w:rPr>
            <w:noProof/>
            <w:webHidden/>
          </w:rPr>
          <w:t>2</w:t>
        </w:r>
        <w:r w:rsidR="005A162D">
          <w:rPr>
            <w:noProof/>
            <w:webHidden/>
          </w:rPr>
          <w:fldChar w:fldCharType="end"/>
        </w:r>
      </w:hyperlink>
    </w:p>
    <w:p w14:paraId="7D60C106" w14:textId="752353DC" w:rsidR="005A162D" w:rsidRDefault="00BC5C5F">
      <w:pPr>
        <w:pStyle w:val="TOC1"/>
        <w:tabs>
          <w:tab w:val="left" w:pos="660"/>
          <w:tab w:val="right" w:leader="dot" w:pos="9060"/>
        </w:tabs>
        <w:rPr>
          <w:rFonts w:eastAsiaTheme="minorEastAsia" w:cstheme="minorBidi"/>
          <w:b w:val="0"/>
          <w:bCs w:val="0"/>
          <w:caps w:val="0"/>
          <w:noProof/>
          <w:sz w:val="22"/>
          <w:szCs w:val="22"/>
          <w:lang w:eastAsia="en-GB" w:bidi="ar-SA"/>
        </w:rPr>
      </w:pPr>
      <w:hyperlink w:anchor="_Toc7682312" w:history="1">
        <w:r w:rsidR="005A162D" w:rsidRPr="00B76C24">
          <w:rPr>
            <w:rStyle w:val="Hyperlink"/>
            <w:noProof/>
          </w:rPr>
          <w:t>1.1</w:t>
        </w:r>
        <w:r w:rsidR="005A162D">
          <w:rPr>
            <w:rFonts w:eastAsiaTheme="minorEastAsia" w:cstheme="minorBidi"/>
            <w:b w:val="0"/>
            <w:bCs w:val="0"/>
            <w:caps w:val="0"/>
            <w:noProof/>
            <w:sz w:val="22"/>
            <w:szCs w:val="22"/>
            <w:lang w:eastAsia="en-GB" w:bidi="ar-SA"/>
          </w:rPr>
          <w:tab/>
        </w:r>
        <w:r w:rsidR="005A162D" w:rsidRPr="00B76C24">
          <w:rPr>
            <w:rStyle w:val="Hyperlink"/>
            <w:noProof/>
          </w:rPr>
          <w:t>European Union, Canada and the United States</w:t>
        </w:r>
        <w:r w:rsidR="005A162D">
          <w:rPr>
            <w:noProof/>
            <w:webHidden/>
          </w:rPr>
          <w:tab/>
        </w:r>
        <w:r w:rsidR="005A162D">
          <w:rPr>
            <w:noProof/>
            <w:webHidden/>
          </w:rPr>
          <w:fldChar w:fldCharType="begin"/>
        </w:r>
        <w:r w:rsidR="005A162D">
          <w:rPr>
            <w:noProof/>
            <w:webHidden/>
          </w:rPr>
          <w:instrText xml:space="preserve"> PAGEREF _Toc7682312 \h </w:instrText>
        </w:r>
        <w:r w:rsidR="005A162D">
          <w:rPr>
            <w:noProof/>
            <w:webHidden/>
          </w:rPr>
        </w:r>
        <w:r w:rsidR="005A162D">
          <w:rPr>
            <w:noProof/>
            <w:webHidden/>
          </w:rPr>
          <w:fldChar w:fldCharType="separate"/>
        </w:r>
        <w:r w:rsidR="005A162D">
          <w:rPr>
            <w:noProof/>
            <w:webHidden/>
          </w:rPr>
          <w:t>2</w:t>
        </w:r>
        <w:r w:rsidR="005A162D">
          <w:rPr>
            <w:noProof/>
            <w:webHidden/>
          </w:rPr>
          <w:fldChar w:fldCharType="end"/>
        </w:r>
      </w:hyperlink>
    </w:p>
    <w:p w14:paraId="03D9F526" w14:textId="62DE8362" w:rsidR="005A162D" w:rsidRDefault="00BC5C5F">
      <w:pPr>
        <w:pStyle w:val="TOC1"/>
        <w:tabs>
          <w:tab w:val="left" w:pos="660"/>
          <w:tab w:val="right" w:leader="dot" w:pos="9060"/>
        </w:tabs>
        <w:rPr>
          <w:rFonts w:eastAsiaTheme="minorEastAsia" w:cstheme="minorBidi"/>
          <w:b w:val="0"/>
          <w:bCs w:val="0"/>
          <w:caps w:val="0"/>
          <w:noProof/>
          <w:sz w:val="22"/>
          <w:szCs w:val="22"/>
          <w:lang w:eastAsia="en-GB" w:bidi="ar-SA"/>
        </w:rPr>
      </w:pPr>
      <w:hyperlink w:anchor="_Toc7682313" w:history="1">
        <w:r w:rsidR="005A162D" w:rsidRPr="00B76C24">
          <w:rPr>
            <w:rStyle w:val="Hyperlink"/>
            <w:noProof/>
          </w:rPr>
          <w:t>1.2</w:t>
        </w:r>
        <w:r w:rsidR="005A162D">
          <w:rPr>
            <w:rFonts w:eastAsiaTheme="minorEastAsia" w:cstheme="minorBidi"/>
            <w:b w:val="0"/>
            <w:bCs w:val="0"/>
            <w:caps w:val="0"/>
            <w:noProof/>
            <w:sz w:val="22"/>
            <w:szCs w:val="22"/>
            <w:lang w:eastAsia="en-GB" w:bidi="ar-SA"/>
          </w:rPr>
          <w:tab/>
        </w:r>
        <w:r w:rsidR="005A162D" w:rsidRPr="00B76C24">
          <w:rPr>
            <w:rStyle w:val="Hyperlink"/>
            <w:noProof/>
          </w:rPr>
          <w:t>Codex Standards</w:t>
        </w:r>
        <w:r w:rsidR="005A162D">
          <w:rPr>
            <w:noProof/>
            <w:webHidden/>
          </w:rPr>
          <w:tab/>
        </w:r>
        <w:r w:rsidR="005A162D">
          <w:rPr>
            <w:noProof/>
            <w:webHidden/>
          </w:rPr>
          <w:fldChar w:fldCharType="begin"/>
        </w:r>
        <w:r w:rsidR="005A162D">
          <w:rPr>
            <w:noProof/>
            <w:webHidden/>
          </w:rPr>
          <w:instrText xml:space="preserve"> PAGEREF _Toc7682313 \h </w:instrText>
        </w:r>
        <w:r w:rsidR="005A162D">
          <w:rPr>
            <w:noProof/>
            <w:webHidden/>
          </w:rPr>
        </w:r>
        <w:r w:rsidR="005A162D">
          <w:rPr>
            <w:noProof/>
            <w:webHidden/>
          </w:rPr>
          <w:fldChar w:fldCharType="separate"/>
        </w:r>
        <w:r w:rsidR="005A162D">
          <w:rPr>
            <w:noProof/>
            <w:webHidden/>
          </w:rPr>
          <w:t>2</w:t>
        </w:r>
        <w:r w:rsidR="005A162D">
          <w:rPr>
            <w:noProof/>
            <w:webHidden/>
          </w:rPr>
          <w:fldChar w:fldCharType="end"/>
        </w:r>
      </w:hyperlink>
    </w:p>
    <w:p w14:paraId="5B9E70EB" w14:textId="23EBC491" w:rsidR="005A162D" w:rsidRDefault="00BC5C5F">
      <w:pPr>
        <w:pStyle w:val="TOC1"/>
        <w:tabs>
          <w:tab w:val="left" w:pos="440"/>
          <w:tab w:val="right" w:leader="dot" w:pos="9060"/>
        </w:tabs>
        <w:rPr>
          <w:rFonts w:eastAsiaTheme="minorEastAsia" w:cstheme="minorBidi"/>
          <w:b w:val="0"/>
          <w:bCs w:val="0"/>
          <w:caps w:val="0"/>
          <w:noProof/>
          <w:sz w:val="22"/>
          <w:szCs w:val="22"/>
          <w:lang w:eastAsia="en-GB" w:bidi="ar-SA"/>
        </w:rPr>
      </w:pPr>
      <w:hyperlink w:anchor="_Toc7682314" w:history="1">
        <w:r w:rsidR="005A162D" w:rsidRPr="00B76C24">
          <w:rPr>
            <w:rStyle w:val="Hyperlink"/>
            <w:noProof/>
          </w:rPr>
          <w:t>2</w:t>
        </w:r>
        <w:r w:rsidR="005A162D">
          <w:rPr>
            <w:rFonts w:eastAsiaTheme="minorEastAsia" w:cstheme="minorBidi"/>
            <w:b w:val="0"/>
            <w:bCs w:val="0"/>
            <w:caps w:val="0"/>
            <w:noProof/>
            <w:sz w:val="22"/>
            <w:szCs w:val="22"/>
            <w:lang w:eastAsia="en-GB" w:bidi="ar-SA"/>
          </w:rPr>
          <w:tab/>
        </w:r>
        <w:r w:rsidR="005A162D" w:rsidRPr="00B76C24">
          <w:rPr>
            <w:rStyle w:val="Hyperlink"/>
            <w:noProof/>
          </w:rPr>
          <w:t>References</w:t>
        </w:r>
        <w:r w:rsidR="005A162D">
          <w:rPr>
            <w:noProof/>
            <w:webHidden/>
          </w:rPr>
          <w:tab/>
        </w:r>
        <w:r w:rsidR="005A162D">
          <w:rPr>
            <w:noProof/>
            <w:webHidden/>
          </w:rPr>
          <w:fldChar w:fldCharType="begin"/>
        </w:r>
        <w:r w:rsidR="005A162D">
          <w:rPr>
            <w:noProof/>
            <w:webHidden/>
          </w:rPr>
          <w:instrText xml:space="preserve"> PAGEREF _Toc7682314 \h </w:instrText>
        </w:r>
        <w:r w:rsidR="005A162D">
          <w:rPr>
            <w:noProof/>
            <w:webHidden/>
          </w:rPr>
        </w:r>
        <w:r w:rsidR="005A162D">
          <w:rPr>
            <w:noProof/>
            <w:webHidden/>
          </w:rPr>
          <w:fldChar w:fldCharType="separate"/>
        </w:r>
        <w:r w:rsidR="005A162D">
          <w:rPr>
            <w:noProof/>
            <w:webHidden/>
          </w:rPr>
          <w:t>5</w:t>
        </w:r>
        <w:r w:rsidR="005A162D">
          <w:rPr>
            <w:noProof/>
            <w:webHidden/>
          </w:rPr>
          <w:fldChar w:fldCharType="end"/>
        </w:r>
      </w:hyperlink>
    </w:p>
    <w:p w14:paraId="28DA3FC3" w14:textId="673A0A83" w:rsidR="00562917" w:rsidRDefault="00326D85" w:rsidP="00051ED9">
      <w:r>
        <w:fldChar w:fldCharType="end"/>
      </w:r>
    </w:p>
    <w:p w14:paraId="57CCE8B2" w14:textId="77777777" w:rsidR="00E066BA" w:rsidRDefault="00E066BA" w:rsidP="00051ED9"/>
    <w:p w14:paraId="6B07E44E" w14:textId="77777777" w:rsidR="00051ED9" w:rsidRDefault="00562917" w:rsidP="00772BDC">
      <w:r w:rsidRPr="00E203C2">
        <w:br w:type="page"/>
      </w:r>
    </w:p>
    <w:p w14:paraId="767B4875" w14:textId="601F297A" w:rsidR="0088641D" w:rsidRDefault="0088641D" w:rsidP="0088641D">
      <w:pPr>
        <w:pStyle w:val="Heading1"/>
      </w:pPr>
      <w:bookmarkStart w:id="4" w:name="_Toc300933417"/>
      <w:bookmarkStart w:id="5" w:name="_Toc5716794"/>
      <w:bookmarkStart w:id="6" w:name="_Toc7682311"/>
      <w:r>
        <w:lastRenderedPageBreak/>
        <w:t>1</w:t>
      </w:r>
      <w:r>
        <w:tab/>
      </w:r>
      <w:r w:rsidRPr="003B587D">
        <w:t>Int</w:t>
      </w:r>
      <w:bookmarkEnd w:id="4"/>
      <w:bookmarkEnd w:id="5"/>
      <w:r>
        <w:t>ernational</w:t>
      </w:r>
      <w:bookmarkEnd w:id="6"/>
    </w:p>
    <w:p w14:paraId="266CBF79" w14:textId="1FF0321E" w:rsidR="00C06318" w:rsidRPr="00472DA0" w:rsidRDefault="00C06318" w:rsidP="00C9674F">
      <w:pPr>
        <w:pStyle w:val="Heading1"/>
        <w:rPr>
          <w:rStyle w:val="Heading1Char"/>
          <w:b/>
          <w:sz w:val="28"/>
          <w:szCs w:val="28"/>
        </w:rPr>
      </w:pPr>
      <w:bookmarkStart w:id="7" w:name="_Toc7682312"/>
      <w:r w:rsidRPr="00472DA0">
        <w:rPr>
          <w:sz w:val="28"/>
          <w:szCs w:val="28"/>
        </w:rPr>
        <w:t>1</w:t>
      </w:r>
      <w:r w:rsidRPr="00472DA0">
        <w:rPr>
          <w:rStyle w:val="Heading1Char"/>
          <w:b/>
          <w:sz w:val="28"/>
          <w:szCs w:val="28"/>
        </w:rPr>
        <w:t>.1</w:t>
      </w:r>
      <w:r w:rsidR="008D0B73" w:rsidRPr="00472DA0">
        <w:rPr>
          <w:rStyle w:val="Heading1Char"/>
          <w:b/>
          <w:sz w:val="28"/>
          <w:szCs w:val="28"/>
        </w:rPr>
        <w:tab/>
      </w:r>
      <w:r w:rsidRPr="00472DA0">
        <w:rPr>
          <w:rStyle w:val="Heading1Char"/>
          <w:b/>
          <w:sz w:val="28"/>
          <w:szCs w:val="28"/>
        </w:rPr>
        <w:t>European Union, Canada and the United States</w:t>
      </w:r>
      <w:bookmarkEnd w:id="7"/>
    </w:p>
    <w:p w14:paraId="0075F36E" w14:textId="20FD29BA" w:rsidR="00C06318" w:rsidRPr="00B908C1" w:rsidRDefault="0088641D" w:rsidP="0088641D">
      <w:pPr>
        <w:spacing w:before="240" w:after="240"/>
        <w:rPr>
          <w:rFonts w:cs="Arial"/>
          <w:b/>
        </w:rPr>
      </w:pPr>
      <w:r w:rsidRPr="00B908C1">
        <w:rPr>
          <w:rFonts w:cs="Arial"/>
          <w:b/>
        </w:rPr>
        <w:t>1.1.1</w:t>
      </w:r>
      <w:r w:rsidRPr="00B908C1">
        <w:rPr>
          <w:rFonts w:cs="Arial"/>
          <w:b/>
        </w:rPr>
        <w:tab/>
      </w:r>
      <w:r w:rsidR="00C06318" w:rsidRPr="00B908C1">
        <w:rPr>
          <w:rFonts w:cs="Arial"/>
          <w:b/>
        </w:rPr>
        <w:t>European Union</w:t>
      </w:r>
    </w:p>
    <w:p w14:paraId="0547944C" w14:textId="022ADA1E" w:rsidR="00C06318" w:rsidRDefault="00C06318" w:rsidP="00C06318">
      <w:pPr>
        <w:rPr>
          <w:rFonts w:cs="Arial"/>
        </w:rPr>
      </w:pPr>
      <w:r>
        <w:rPr>
          <w:rFonts w:cs="Arial"/>
        </w:rPr>
        <w:t>Irradiation of herbs and spices is regulated under Directive 199</w:t>
      </w:r>
      <w:r w:rsidR="00603FA8">
        <w:rPr>
          <w:rFonts w:cs="Arial"/>
        </w:rPr>
        <w:t>9</w:t>
      </w:r>
      <w:r>
        <w:rPr>
          <w:rFonts w:cs="Arial"/>
        </w:rPr>
        <w:t>/3/EC</w:t>
      </w:r>
      <w:r w:rsidR="00573D44">
        <w:rPr>
          <w:rFonts w:cs="Arial"/>
        </w:rPr>
        <w:t xml:space="preserve"> (EC</w:t>
      </w:r>
      <w:r w:rsidR="00107857">
        <w:rPr>
          <w:rFonts w:cs="Arial"/>
        </w:rPr>
        <w:t xml:space="preserve"> 1999)</w:t>
      </w:r>
      <w:r>
        <w:rPr>
          <w:rFonts w:cs="Arial"/>
        </w:rPr>
        <w:t xml:space="preserve">. Dried aromatic </w:t>
      </w:r>
      <w:r w:rsidR="004360AD">
        <w:rPr>
          <w:rFonts w:cs="Arial"/>
        </w:rPr>
        <w:t>herbs, spices and</w:t>
      </w:r>
      <w:r>
        <w:rPr>
          <w:rFonts w:cs="Arial"/>
        </w:rPr>
        <w:t xml:space="preserve"> vegetable seasonings are permitted to be irradiated. Herbs and spices are not defined or cross referenced in the E</w:t>
      </w:r>
      <w:r w:rsidR="004360AD">
        <w:rPr>
          <w:rFonts w:cs="Arial"/>
        </w:rPr>
        <w:t>uropean</w:t>
      </w:r>
      <w:r>
        <w:rPr>
          <w:rFonts w:cs="Arial"/>
        </w:rPr>
        <w:t xml:space="preserve"> Directive.</w:t>
      </w:r>
    </w:p>
    <w:p w14:paraId="2D43A1B5" w14:textId="284FFDA3" w:rsidR="00C06318" w:rsidRPr="00B908C1" w:rsidRDefault="0088641D" w:rsidP="0088641D">
      <w:pPr>
        <w:spacing w:before="240" w:after="240"/>
        <w:rPr>
          <w:rFonts w:cs="Arial"/>
          <w:b/>
        </w:rPr>
      </w:pPr>
      <w:r w:rsidRPr="00B908C1">
        <w:rPr>
          <w:rFonts w:cs="Arial"/>
          <w:b/>
        </w:rPr>
        <w:t>1.1.2</w:t>
      </w:r>
      <w:r w:rsidRPr="00B908C1">
        <w:rPr>
          <w:rFonts w:cs="Arial"/>
          <w:b/>
        </w:rPr>
        <w:tab/>
      </w:r>
      <w:r w:rsidR="00C06318" w:rsidRPr="00B908C1">
        <w:rPr>
          <w:rFonts w:cs="Arial"/>
          <w:b/>
        </w:rPr>
        <w:t>Canada</w:t>
      </w:r>
    </w:p>
    <w:p w14:paraId="79B02F46" w14:textId="4F0F86DF" w:rsidR="00C06318" w:rsidRDefault="00C06318" w:rsidP="00C06318">
      <w:pPr>
        <w:rPr>
          <w:rFonts w:cs="Arial"/>
        </w:rPr>
      </w:pPr>
      <w:r>
        <w:rPr>
          <w:rFonts w:cs="Arial"/>
        </w:rPr>
        <w:t xml:space="preserve">The Food and Drug Regulations Division 26 Food Irradiation permits irradiation of whole and ground spices, and dehydrated seasoning preparations. Spices and seasonings are not defined </w:t>
      </w:r>
      <w:r w:rsidR="00107857">
        <w:rPr>
          <w:rFonts w:cs="Arial"/>
        </w:rPr>
        <w:t>(</w:t>
      </w:r>
      <w:r w:rsidR="00FA4B0F">
        <w:rPr>
          <w:rFonts w:cs="Arial"/>
        </w:rPr>
        <w:t>CFDR</w:t>
      </w:r>
      <w:r w:rsidR="006E7802">
        <w:rPr>
          <w:rFonts w:cs="Arial"/>
        </w:rPr>
        <w:t xml:space="preserve"> 2019</w:t>
      </w:r>
      <w:r w:rsidR="00107857">
        <w:rPr>
          <w:rFonts w:cs="Arial"/>
        </w:rPr>
        <w:t>)</w:t>
      </w:r>
      <w:r>
        <w:rPr>
          <w:rFonts w:cs="Arial"/>
        </w:rPr>
        <w:t>.</w:t>
      </w:r>
    </w:p>
    <w:p w14:paraId="564F5BDB" w14:textId="146DA5FF" w:rsidR="00C06318" w:rsidRPr="00B908C1" w:rsidRDefault="0088641D" w:rsidP="0088641D">
      <w:pPr>
        <w:spacing w:before="240" w:after="240"/>
        <w:rPr>
          <w:rFonts w:cs="Arial"/>
          <w:b/>
        </w:rPr>
      </w:pPr>
      <w:r w:rsidRPr="00B908C1">
        <w:rPr>
          <w:rFonts w:cs="Arial"/>
          <w:b/>
        </w:rPr>
        <w:t>1.1.2</w:t>
      </w:r>
      <w:r w:rsidRPr="00B908C1">
        <w:rPr>
          <w:rFonts w:cs="Arial"/>
          <w:b/>
        </w:rPr>
        <w:tab/>
      </w:r>
      <w:r w:rsidR="00C06318" w:rsidRPr="00B908C1">
        <w:rPr>
          <w:rFonts w:cs="Arial"/>
          <w:b/>
        </w:rPr>
        <w:t>United States</w:t>
      </w:r>
    </w:p>
    <w:p w14:paraId="00F493D8" w14:textId="1A70C8D6" w:rsidR="00C06318" w:rsidRPr="00515D42" w:rsidRDefault="00C06318" w:rsidP="00C06318">
      <w:pPr>
        <w:rPr>
          <w:rFonts w:cs="Arial"/>
        </w:rPr>
      </w:pPr>
      <w:r>
        <w:rPr>
          <w:rFonts w:cs="Arial"/>
        </w:rPr>
        <w:t xml:space="preserve">The United States Food and Drug Administration </w:t>
      </w:r>
      <w:r w:rsidR="00913D7F">
        <w:rPr>
          <w:rFonts w:cs="Arial"/>
        </w:rPr>
        <w:t xml:space="preserve">(FDA) </w:t>
      </w:r>
      <w:r>
        <w:rPr>
          <w:rFonts w:cs="Arial"/>
        </w:rPr>
        <w:t xml:space="preserve">Code of Federal Regulations (CFR) Title </w:t>
      </w:r>
      <w:r w:rsidRPr="00515D42">
        <w:rPr>
          <w:rFonts w:cs="Arial"/>
        </w:rPr>
        <w:t>21CRF179 permits the use of ionizing radiation for the treatment of food, including culinary herbs, seeds and spices (</w:t>
      </w:r>
      <w:r w:rsidR="00FA4B0F">
        <w:rPr>
          <w:rFonts w:cs="Arial"/>
        </w:rPr>
        <w:t>US</w:t>
      </w:r>
      <w:r w:rsidR="006E7802">
        <w:rPr>
          <w:rFonts w:cs="Arial"/>
        </w:rPr>
        <w:t>FDA 2018</w:t>
      </w:r>
      <w:r w:rsidRPr="00515D42">
        <w:rPr>
          <w:rFonts w:cs="Arial"/>
        </w:rPr>
        <w:t>).</w:t>
      </w:r>
      <w:r>
        <w:rPr>
          <w:rFonts w:cs="Arial"/>
        </w:rPr>
        <w:t xml:space="preserve"> The </w:t>
      </w:r>
      <w:r w:rsidR="004360AD">
        <w:rPr>
          <w:rFonts w:cs="Arial"/>
        </w:rPr>
        <w:t xml:space="preserve">use </w:t>
      </w:r>
      <w:r w:rsidR="00913D7F">
        <w:rPr>
          <w:rFonts w:cs="Arial"/>
        </w:rPr>
        <w:t xml:space="preserve">and limitations </w:t>
      </w:r>
      <w:r w:rsidR="004360AD">
        <w:rPr>
          <w:rFonts w:cs="Arial"/>
        </w:rPr>
        <w:t>of irradiation to treat herbs and spices</w:t>
      </w:r>
      <w:r>
        <w:rPr>
          <w:rFonts w:cs="Arial"/>
        </w:rPr>
        <w:t xml:space="preserve"> is </w:t>
      </w:r>
      <w:r w:rsidR="00913D7F">
        <w:rPr>
          <w:rFonts w:cs="Arial"/>
        </w:rPr>
        <w:t>contained in part 5 of section 179.26</w:t>
      </w:r>
      <w:r w:rsidR="004360AD">
        <w:rPr>
          <w:rFonts w:cs="Arial"/>
        </w:rPr>
        <w:t xml:space="preserve"> </w:t>
      </w:r>
      <w:r>
        <w:rPr>
          <w:rFonts w:cs="Arial"/>
        </w:rPr>
        <w:t>as follows:</w:t>
      </w:r>
    </w:p>
    <w:p w14:paraId="41D874F9" w14:textId="77777777" w:rsidR="00C06318" w:rsidRPr="00515D42" w:rsidRDefault="00C06318" w:rsidP="00C06318">
      <w:pPr>
        <w:rPr>
          <w:rFonts w:cs="Arial"/>
        </w:rPr>
      </w:pPr>
    </w:p>
    <w:tbl>
      <w:tblPr>
        <w:tblW w:w="5000" w:type="pct"/>
        <w:jc w:val="center"/>
        <w:tblCellSpacing w:w="7" w:type="dxa"/>
        <w:tblBorders>
          <w:top w:val="single" w:sz="4" w:space="0" w:color="auto"/>
          <w:left w:val="single" w:sz="4" w:space="0" w:color="auto"/>
          <w:bottom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73"/>
        <w:gridCol w:w="1287"/>
      </w:tblGrid>
      <w:tr w:rsidR="00C06318" w:rsidRPr="00515D42" w14:paraId="1845D9CC" w14:textId="77777777" w:rsidTr="002E21AC">
        <w:trPr>
          <w:tblCellSpacing w:w="7" w:type="dxa"/>
          <w:jc w:val="center"/>
        </w:trPr>
        <w:tc>
          <w:tcPr>
            <w:tcW w:w="0" w:type="auto"/>
            <w:vAlign w:val="center"/>
            <w:hideMark/>
          </w:tcPr>
          <w:p w14:paraId="280C5471" w14:textId="77777777" w:rsidR="00C06318" w:rsidRPr="00515D42" w:rsidRDefault="00C06318" w:rsidP="008520D5">
            <w:pPr>
              <w:widowControl/>
              <w:rPr>
                <w:lang w:eastAsia="en-GB" w:bidi="ar-SA"/>
              </w:rPr>
            </w:pPr>
            <w:r w:rsidRPr="00515D42">
              <w:rPr>
                <w:lang w:eastAsia="en-GB" w:bidi="ar-SA"/>
              </w:rPr>
              <w:t>5. For microbial disinfection of the following dry or dehydrated aromatic vegetable substances when used as ingredients in small amounts solely for flavoring or aroma: culinary herbs, seeds, spices, vegetable seasonings that are used to impart flavor but that are not either represented as, or appear to be, a vegetable that is eaten for its own sake, and blends of these aromatic vegetable substances. Turmeric and paprika may also be irradiated when they are to be used as color additives. The blends may contain sodium chloride and minor amounts of dry food ingredients ordinarily used in such blends</w:t>
            </w:r>
          </w:p>
        </w:tc>
        <w:tc>
          <w:tcPr>
            <w:tcW w:w="0" w:type="auto"/>
            <w:vAlign w:val="center"/>
            <w:hideMark/>
          </w:tcPr>
          <w:p w14:paraId="7C104C23" w14:textId="6AB169BF" w:rsidR="00C06318" w:rsidRPr="00515D42" w:rsidRDefault="00C06318" w:rsidP="002E21AC">
            <w:pPr>
              <w:widowControl/>
              <w:jc w:val="center"/>
              <w:rPr>
                <w:lang w:eastAsia="en-GB" w:bidi="ar-SA"/>
              </w:rPr>
            </w:pPr>
            <w:r w:rsidRPr="00515D42">
              <w:rPr>
                <w:lang w:eastAsia="en-GB" w:bidi="ar-SA"/>
              </w:rPr>
              <w:t>Not to exceed 30 kGy (3 Mrad).</w:t>
            </w:r>
          </w:p>
        </w:tc>
      </w:tr>
    </w:tbl>
    <w:p w14:paraId="4AC11CFC" w14:textId="77777777" w:rsidR="00C06318" w:rsidRPr="00515D42" w:rsidRDefault="00C06318" w:rsidP="00C06318">
      <w:pPr>
        <w:rPr>
          <w:rFonts w:cs="Arial"/>
        </w:rPr>
      </w:pPr>
    </w:p>
    <w:p w14:paraId="6D81BA06" w14:textId="1106C7D0" w:rsidR="00C06318" w:rsidRPr="00515D42" w:rsidRDefault="00C06318" w:rsidP="00C06318">
      <w:pPr>
        <w:rPr>
          <w:rFonts w:cs="Arial"/>
        </w:rPr>
      </w:pPr>
      <w:r w:rsidRPr="00515D42">
        <w:rPr>
          <w:rFonts w:cs="Arial"/>
        </w:rPr>
        <w:t>Spices</w:t>
      </w:r>
      <w:r>
        <w:rPr>
          <w:rFonts w:cs="Arial"/>
        </w:rPr>
        <w:t xml:space="preserve"> are defined in t</w:t>
      </w:r>
      <w:r w:rsidRPr="00515D42">
        <w:rPr>
          <w:rFonts w:cs="Arial"/>
        </w:rPr>
        <w:t>he FDA Compliance Policy Guide section 525.750</w:t>
      </w:r>
      <w:r w:rsidRPr="00515D42">
        <w:rPr>
          <w:rStyle w:val="FootnoteReference"/>
          <w:rFonts w:cs="Arial"/>
        </w:rPr>
        <w:footnoteReference w:id="1"/>
      </w:r>
      <w:r w:rsidRPr="00515D42">
        <w:rPr>
          <w:rFonts w:cs="Arial"/>
        </w:rPr>
        <w:t xml:space="preserve">, and </w:t>
      </w:r>
      <w:r>
        <w:rPr>
          <w:rFonts w:cs="Arial"/>
        </w:rPr>
        <w:t xml:space="preserve">while </w:t>
      </w:r>
      <w:r w:rsidRPr="00515D42">
        <w:rPr>
          <w:rFonts w:cs="Arial"/>
        </w:rPr>
        <w:t>a number of herbs are de</w:t>
      </w:r>
      <w:r>
        <w:rPr>
          <w:rFonts w:cs="Arial"/>
        </w:rPr>
        <w:t>scribed, t</w:t>
      </w:r>
      <w:r w:rsidRPr="00515D42">
        <w:rPr>
          <w:rFonts w:cs="Arial"/>
        </w:rPr>
        <w:t xml:space="preserve">here is not a </w:t>
      </w:r>
      <w:r>
        <w:rPr>
          <w:rFonts w:cs="Arial"/>
        </w:rPr>
        <w:t>general</w:t>
      </w:r>
      <w:r w:rsidRPr="00515D42">
        <w:rPr>
          <w:rFonts w:cs="Arial"/>
        </w:rPr>
        <w:t xml:space="preserve"> definition of herbs.</w:t>
      </w:r>
      <w:r w:rsidR="005471FC">
        <w:rPr>
          <w:rFonts w:cs="Arial"/>
        </w:rPr>
        <w:t xml:space="preserve"> The definition for spices</w:t>
      </w:r>
      <w:r>
        <w:rPr>
          <w:rFonts w:cs="Arial"/>
        </w:rPr>
        <w:t xml:space="preserve"> is as follows:</w:t>
      </w:r>
    </w:p>
    <w:p w14:paraId="24CA6727" w14:textId="77777777" w:rsidR="00C06318" w:rsidRPr="00515D42" w:rsidRDefault="00C06318" w:rsidP="00C06318">
      <w:pPr>
        <w:rPr>
          <w:rFonts w:cs="Arial"/>
        </w:rPr>
      </w:pPr>
    </w:p>
    <w:p w14:paraId="03E3F719" w14:textId="77777777" w:rsidR="00C06318" w:rsidRPr="00515D42" w:rsidRDefault="00C06318" w:rsidP="00C06318">
      <w:pPr>
        <w:pBdr>
          <w:top w:val="single" w:sz="4" w:space="1" w:color="auto"/>
          <w:left w:val="single" w:sz="4" w:space="4" w:color="auto"/>
          <w:bottom w:val="single" w:sz="4" w:space="1" w:color="auto"/>
          <w:right w:val="single" w:sz="4" w:space="4" w:color="auto"/>
        </w:pBdr>
        <w:rPr>
          <w:rFonts w:cs="Arial"/>
        </w:rPr>
      </w:pPr>
      <w:r w:rsidRPr="00515D42">
        <w:rPr>
          <w:rFonts w:cs="Helvetica"/>
          <w:color w:val="333333"/>
          <w:lang w:val="en"/>
        </w:rPr>
        <w:t>SPICES - General Definition - Aromatic vegetable substances, in the whole, broken, or ground form, whose significant function in food is seasoning rather than nutrition. They are true to name and from them no portion of any volatile oil or other flavoring principle has been removed.</w:t>
      </w:r>
    </w:p>
    <w:p w14:paraId="4C921A9E" w14:textId="77777777" w:rsidR="00C06318" w:rsidRPr="00F77010" w:rsidRDefault="00C06318" w:rsidP="00F77010">
      <w:pPr>
        <w:pStyle w:val="Heading1"/>
        <w:spacing w:before="240"/>
        <w:rPr>
          <w:sz w:val="28"/>
          <w:szCs w:val="28"/>
        </w:rPr>
      </w:pPr>
      <w:bookmarkStart w:id="8" w:name="_Toc7682313"/>
      <w:r w:rsidRPr="00F77010">
        <w:rPr>
          <w:sz w:val="28"/>
          <w:szCs w:val="28"/>
        </w:rPr>
        <w:t>1.2</w:t>
      </w:r>
      <w:r w:rsidRPr="00F77010">
        <w:rPr>
          <w:sz w:val="28"/>
          <w:szCs w:val="28"/>
        </w:rPr>
        <w:tab/>
        <w:t>Codex Standards</w:t>
      </w:r>
      <w:bookmarkEnd w:id="8"/>
    </w:p>
    <w:p w14:paraId="1C140933" w14:textId="20A267C9" w:rsidR="00C06318" w:rsidRDefault="00C06318" w:rsidP="00C06318">
      <w:pPr>
        <w:rPr>
          <w:rFonts w:cs="Arial"/>
        </w:rPr>
      </w:pPr>
      <w:r>
        <w:rPr>
          <w:rFonts w:cs="Arial"/>
        </w:rPr>
        <w:t xml:space="preserve">Three Codex Alimentarius (Codex) committees have standards, guidelines or Codes of Practice </w:t>
      </w:r>
      <w:r w:rsidR="00107857">
        <w:rPr>
          <w:rFonts w:cs="Arial"/>
        </w:rPr>
        <w:t>applicable to the definitions of</w:t>
      </w:r>
      <w:r>
        <w:rPr>
          <w:rFonts w:cs="Arial"/>
        </w:rPr>
        <w:t xml:space="preserve"> herbs and spices. These are the </w:t>
      </w:r>
      <w:r w:rsidRPr="007E6E67">
        <w:rPr>
          <w:rFonts w:cs="Arial"/>
        </w:rPr>
        <w:t>Codex Committee on Pesticide Residue</w:t>
      </w:r>
      <w:r>
        <w:rPr>
          <w:rFonts w:cs="Arial"/>
        </w:rPr>
        <w:t>s</w:t>
      </w:r>
      <w:r w:rsidRPr="007E6E67">
        <w:rPr>
          <w:rFonts w:cs="Arial"/>
        </w:rPr>
        <w:t xml:space="preserve"> (CCPR)</w:t>
      </w:r>
      <w:r>
        <w:rPr>
          <w:rFonts w:cs="Arial"/>
        </w:rPr>
        <w:t xml:space="preserve">, the Codex Committee on Food Hygiene (CCFH), </w:t>
      </w:r>
      <w:r w:rsidRPr="00727AD1">
        <w:rPr>
          <w:rFonts w:cs="Arial"/>
        </w:rPr>
        <w:t xml:space="preserve">and </w:t>
      </w:r>
      <w:r>
        <w:rPr>
          <w:rFonts w:cs="Arial"/>
        </w:rPr>
        <w:t>the Codex Committee on Spices and Culinary Herbs (CCSCH).</w:t>
      </w:r>
    </w:p>
    <w:p w14:paraId="117454CD" w14:textId="06205DAE" w:rsidR="00EB4577" w:rsidRDefault="00EB4577" w:rsidP="00C06318">
      <w:pPr>
        <w:rPr>
          <w:rFonts w:cs="Arial"/>
        </w:rPr>
      </w:pPr>
    </w:p>
    <w:p w14:paraId="22B68E7D" w14:textId="4A1548E6" w:rsidR="00EB4577" w:rsidRDefault="00EB4577" w:rsidP="00C06318">
      <w:pPr>
        <w:rPr>
          <w:rFonts w:cs="Arial"/>
        </w:rPr>
      </w:pPr>
      <w:r>
        <w:rPr>
          <w:rFonts w:cs="Arial"/>
        </w:rPr>
        <w:t>Sections 1.4.1 and 2.2.2.1 in the Call for Submissions Report explain the regard FSANZ had to the definitions contained in Codex texts. As noted in section 1.4.1</w:t>
      </w:r>
      <w:r w:rsidR="00603FA8">
        <w:rPr>
          <w:rFonts w:cs="Arial"/>
        </w:rPr>
        <w:t xml:space="preserve"> of the Call for Submissions document</w:t>
      </w:r>
      <w:r>
        <w:rPr>
          <w:rFonts w:cs="Arial"/>
        </w:rPr>
        <w:t xml:space="preserve">, the descriptions and commodity lists in Schedule 22 were based on </w:t>
      </w:r>
      <w:r>
        <w:rPr>
          <w:rFonts w:cs="Arial"/>
        </w:rPr>
        <w:lastRenderedPageBreak/>
        <w:t xml:space="preserve">the CCPR guidelines in place at the time the schedule was originally developed. </w:t>
      </w:r>
    </w:p>
    <w:p w14:paraId="47B1AF49" w14:textId="3255A252" w:rsidR="00C06318" w:rsidRPr="00B908C1" w:rsidRDefault="00C06318" w:rsidP="00C06318">
      <w:pPr>
        <w:spacing w:before="240" w:after="240"/>
        <w:rPr>
          <w:rFonts w:cs="Arial"/>
          <w:b/>
        </w:rPr>
      </w:pPr>
      <w:r w:rsidRPr="00B908C1">
        <w:rPr>
          <w:rFonts w:cs="Arial"/>
          <w:b/>
        </w:rPr>
        <w:t>1.2.1</w:t>
      </w:r>
      <w:r w:rsidRPr="00B908C1">
        <w:rPr>
          <w:rFonts w:cs="Arial"/>
          <w:b/>
        </w:rPr>
        <w:tab/>
        <w:t>Codex Committee on Pesticide Residues</w:t>
      </w:r>
    </w:p>
    <w:p w14:paraId="050E7CFC" w14:textId="77777777" w:rsidR="00C06318" w:rsidRDefault="00C06318" w:rsidP="00C06318">
      <w:pPr>
        <w:rPr>
          <w:rFonts w:cs="Arial"/>
        </w:rPr>
      </w:pPr>
      <w:r>
        <w:rPr>
          <w:rFonts w:cs="Arial"/>
        </w:rPr>
        <w:t>The CCPR has definitions for herbs and spices in three Codex guideline publications:</w:t>
      </w:r>
    </w:p>
    <w:p w14:paraId="17DD8619" w14:textId="4D2BB8D1" w:rsidR="00C06318" w:rsidRDefault="00C06318" w:rsidP="00BE2F81">
      <w:pPr>
        <w:pStyle w:val="ListParagraph"/>
        <w:numPr>
          <w:ilvl w:val="0"/>
          <w:numId w:val="4"/>
        </w:numPr>
        <w:rPr>
          <w:rFonts w:cs="Arial"/>
        </w:rPr>
      </w:pPr>
      <w:r w:rsidRPr="007E6E67">
        <w:rPr>
          <w:rFonts w:cs="Arial"/>
        </w:rPr>
        <w:t>Codex Classification of Foods and Animal Feeds publication</w:t>
      </w:r>
      <w:r>
        <w:rPr>
          <w:rFonts w:cs="Arial"/>
        </w:rPr>
        <w:t xml:space="preserve"> CXM 4/1989</w:t>
      </w:r>
      <w:r w:rsidR="00EB5FEC">
        <w:rPr>
          <w:rFonts w:cs="Arial"/>
        </w:rPr>
        <w:t xml:space="preserve"> (CCPR 1989)</w:t>
      </w:r>
    </w:p>
    <w:p w14:paraId="286E298D" w14:textId="30CBB792" w:rsidR="00C06318" w:rsidRDefault="00C06318" w:rsidP="00BE2F81">
      <w:pPr>
        <w:pStyle w:val="ListParagraph"/>
        <w:numPr>
          <w:ilvl w:val="0"/>
          <w:numId w:val="4"/>
        </w:numPr>
        <w:rPr>
          <w:rFonts w:cs="Arial"/>
        </w:rPr>
      </w:pPr>
      <w:r w:rsidRPr="007E6E67">
        <w:rPr>
          <w:rFonts w:cs="Arial"/>
        </w:rPr>
        <w:t xml:space="preserve">Codex Classification of Foods and Animal Feeds </w:t>
      </w:r>
      <w:r>
        <w:rPr>
          <w:rFonts w:cs="Arial"/>
        </w:rPr>
        <w:t>online version</w:t>
      </w:r>
      <w:r w:rsidR="00060A99">
        <w:rPr>
          <w:rFonts w:cs="Arial"/>
        </w:rPr>
        <w:t xml:space="preserve"> (CCPR 2018)</w:t>
      </w:r>
    </w:p>
    <w:p w14:paraId="253CD01B" w14:textId="25EE57D1" w:rsidR="00C06318" w:rsidRPr="006A2790" w:rsidRDefault="00C06318" w:rsidP="00BE2F81">
      <w:pPr>
        <w:pStyle w:val="ListParagraph"/>
        <w:numPr>
          <w:ilvl w:val="0"/>
          <w:numId w:val="4"/>
        </w:numPr>
        <w:rPr>
          <w:rFonts w:cs="Arial"/>
        </w:rPr>
      </w:pPr>
      <w:r w:rsidRPr="003C7BCC">
        <w:rPr>
          <w:rFonts w:cs="Arial"/>
        </w:rPr>
        <w:t xml:space="preserve">Codex </w:t>
      </w:r>
      <w:r>
        <w:rPr>
          <w:rFonts w:cs="Arial"/>
        </w:rPr>
        <w:t>Guideline</w:t>
      </w:r>
      <w:r w:rsidRPr="003C7BCC">
        <w:rPr>
          <w:rFonts w:cs="Arial"/>
        </w:rPr>
        <w:t xml:space="preserve"> CAC/GL 41-1993</w:t>
      </w:r>
      <w:r>
        <w:rPr>
          <w:rFonts w:cs="Arial"/>
        </w:rPr>
        <w:t xml:space="preserve"> (Rev 2010)</w:t>
      </w:r>
      <w:r w:rsidRPr="003C7BCC">
        <w:rPr>
          <w:rFonts w:cs="Arial"/>
        </w:rPr>
        <w:t xml:space="preserve"> Portion of Commodities to which</w:t>
      </w:r>
      <w:r>
        <w:rPr>
          <w:rFonts w:cs="Arial"/>
        </w:rPr>
        <w:t xml:space="preserve"> Maximum Residues Limits Apply and w</w:t>
      </w:r>
      <w:r w:rsidRPr="003C7BCC">
        <w:rPr>
          <w:rFonts w:cs="Arial"/>
        </w:rPr>
        <w:t xml:space="preserve">hich is </w:t>
      </w:r>
      <w:r>
        <w:rPr>
          <w:rFonts w:cs="Arial"/>
        </w:rPr>
        <w:t>A</w:t>
      </w:r>
      <w:r w:rsidRPr="003C7BCC">
        <w:rPr>
          <w:rFonts w:cs="Arial"/>
        </w:rPr>
        <w:t>nalysed</w:t>
      </w:r>
      <w:r w:rsidR="00060A99">
        <w:rPr>
          <w:rFonts w:cs="Arial"/>
        </w:rPr>
        <w:t xml:space="preserve"> (CCPR 1993)</w:t>
      </w:r>
    </w:p>
    <w:p w14:paraId="29085308" w14:textId="77777777" w:rsidR="00C06318" w:rsidRDefault="00C06318" w:rsidP="00C06318">
      <w:pPr>
        <w:rPr>
          <w:rFonts w:cs="Arial"/>
        </w:rPr>
      </w:pPr>
    </w:p>
    <w:p w14:paraId="3F662EBA" w14:textId="40191379" w:rsidR="00C06318" w:rsidRPr="00B16F23" w:rsidRDefault="00C06318" w:rsidP="00C06318">
      <w:pPr>
        <w:rPr>
          <w:rFonts w:cs="Arial"/>
          <w:i/>
        </w:rPr>
      </w:pPr>
      <w:r w:rsidRPr="00B16F23">
        <w:rPr>
          <w:rFonts w:cs="Arial"/>
          <w:i/>
        </w:rPr>
        <w:t>Codex Classification of Foods and Animal Feeds publication CXM 4/1989 and Codex Classification of Foods and Animal Feeds online version</w:t>
      </w:r>
    </w:p>
    <w:p w14:paraId="4E1B60B9" w14:textId="77777777" w:rsidR="00C06318" w:rsidRDefault="00C06318" w:rsidP="00C06318">
      <w:pPr>
        <w:rPr>
          <w:rFonts w:cs="Arial"/>
        </w:rPr>
      </w:pPr>
    </w:p>
    <w:p w14:paraId="7EAD7D15" w14:textId="0C77755C" w:rsidR="00C06318" w:rsidRDefault="00896FA3" w:rsidP="00C06318">
      <w:pPr>
        <w:rPr>
          <w:rFonts w:cs="Arial"/>
        </w:rPr>
      </w:pPr>
      <w:r>
        <w:rPr>
          <w:rFonts w:cs="Arial"/>
        </w:rPr>
        <w:t xml:space="preserve">Under these </w:t>
      </w:r>
      <w:r w:rsidR="00C06318" w:rsidRPr="007E6E67">
        <w:rPr>
          <w:rFonts w:cs="Arial"/>
        </w:rPr>
        <w:t>publication</w:t>
      </w:r>
      <w:r>
        <w:rPr>
          <w:rFonts w:cs="Arial"/>
        </w:rPr>
        <w:t>s, herbs and s</w:t>
      </w:r>
      <w:r w:rsidR="00C06318">
        <w:rPr>
          <w:rFonts w:cs="Arial"/>
        </w:rPr>
        <w:t xml:space="preserve">pices come under the heading </w:t>
      </w:r>
      <w:r w:rsidR="00C06318" w:rsidRPr="00AE3A0C">
        <w:rPr>
          <w:rFonts w:cs="Arial"/>
          <w:i/>
        </w:rPr>
        <w:t>Primary food commodities of plant origin</w:t>
      </w:r>
      <w:r w:rsidR="00C06318">
        <w:rPr>
          <w:rFonts w:cs="Arial"/>
        </w:rPr>
        <w:t xml:space="preserve"> (Herbs and Spices). Individual herbs and spices are listed.</w:t>
      </w:r>
    </w:p>
    <w:p w14:paraId="60A485C3" w14:textId="77777777" w:rsidR="00C06318" w:rsidRDefault="00C06318" w:rsidP="00C06318">
      <w:pPr>
        <w:rPr>
          <w:rFonts w:cs="Arial"/>
        </w:rPr>
      </w:pPr>
    </w:p>
    <w:p w14:paraId="4F24A615" w14:textId="5BD7E0EC" w:rsidR="00C06318" w:rsidRDefault="00C06318" w:rsidP="00573D44">
      <w:pPr>
        <w:rPr>
          <w:rFonts w:cs="Arial"/>
        </w:rPr>
      </w:pPr>
      <w:r>
        <w:rPr>
          <w:rFonts w:cs="Arial"/>
        </w:rPr>
        <w:t>The CCPR is updating the commodities listed for food types, and the work on Classification of Food and Feed, including Type 5: Herbs and Spices was completed at CCPR50 in 2018. The revisions were adopted by the Codex Alimen</w:t>
      </w:r>
      <w:r w:rsidR="002618EF">
        <w:rPr>
          <w:rFonts w:cs="Arial"/>
        </w:rPr>
        <w:t>tarius Commission in July 2018.</w:t>
      </w:r>
    </w:p>
    <w:p w14:paraId="09BFE1B0" w14:textId="77777777" w:rsidR="00573D44" w:rsidRDefault="00573D44" w:rsidP="00C06318">
      <w:pPr>
        <w:rPr>
          <w:rFonts w:cs="Arial"/>
        </w:rPr>
      </w:pPr>
    </w:p>
    <w:p w14:paraId="4C045902" w14:textId="45FCAE84" w:rsidR="00C06318" w:rsidRDefault="00C06318" w:rsidP="00C06318">
      <w:pPr>
        <w:rPr>
          <w:rFonts w:cs="Arial"/>
        </w:rPr>
      </w:pPr>
      <w:r>
        <w:rPr>
          <w:rFonts w:cs="Arial"/>
        </w:rPr>
        <w:t>The 2018 revisions for herbs are as follows:</w:t>
      </w:r>
    </w:p>
    <w:p w14:paraId="5DD77259" w14:textId="77777777" w:rsidR="00C06318" w:rsidRDefault="00C06318" w:rsidP="00C06318">
      <w:pPr>
        <w:rPr>
          <w:rFonts w:cs="Arial"/>
        </w:rPr>
      </w:pPr>
    </w:p>
    <w:p w14:paraId="2D4AAB42" w14:textId="6AA9B708" w:rsidR="00C06318" w:rsidRDefault="00C06318" w:rsidP="00C06318">
      <w:pPr>
        <w:pBdr>
          <w:top w:val="single" w:sz="4" w:space="1" w:color="auto"/>
          <w:left w:val="single" w:sz="4" w:space="4" w:color="auto"/>
          <w:bottom w:val="single" w:sz="4" w:space="1" w:color="auto"/>
          <w:right w:val="single" w:sz="4" w:space="4" w:color="auto"/>
        </w:pBdr>
        <w:rPr>
          <w:rFonts w:cs="Arial"/>
        </w:rPr>
      </w:pPr>
      <w:r>
        <w:rPr>
          <w:rFonts w:cs="Arial"/>
        </w:rPr>
        <w:t>Herbs consist of leaves, flowers, stems and roots from a variety of (herbaceous) plants, used in relatively small amounts to flavour foods or beverages. They are used either in fresh or naturally dried form.</w:t>
      </w:r>
    </w:p>
    <w:p w14:paraId="2498BE2C" w14:textId="77777777" w:rsidR="00C06318" w:rsidRDefault="00C06318" w:rsidP="00C06318">
      <w:pPr>
        <w:pBdr>
          <w:top w:val="single" w:sz="4" w:space="1" w:color="auto"/>
          <w:left w:val="single" w:sz="4" w:space="4" w:color="auto"/>
          <w:bottom w:val="single" w:sz="4" w:space="1" w:color="auto"/>
          <w:right w:val="single" w:sz="4" w:space="4" w:color="auto"/>
        </w:pBdr>
        <w:rPr>
          <w:rFonts w:cs="Arial"/>
        </w:rPr>
      </w:pPr>
    </w:p>
    <w:p w14:paraId="12C4647F" w14:textId="1E3B0EDC" w:rsidR="00C06318" w:rsidRDefault="00C06318" w:rsidP="00C06318">
      <w:pPr>
        <w:pBdr>
          <w:top w:val="single" w:sz="4" w:space="1" w:color="auto"/>
          <w:left w:val="single" w:sz="4" w:space="4" w:color="auto"/>
          <w:bottom w:val="single" w:sz="4" w:space="1" w:color="auto"/>
          <w:right w:val="single" w:sz="4" w:space="4" w:color="auto"/>
        </w:pBdr>
        <w:rPr>
          <w:rFonts w:cs="Arial"/>
        </w:rPr>
      </w:pPr>
      <w:r>
        <w:rPr>
          <w:rFonts w:cs="Arial"/>
        </w:rPr>
        <w:t>Herbs are fully exposed to pesticides applied during the growing season. Post-harvest treatments are often carried out on dried herbs.</w:t>
      </w:r>
    </w:p>
    <w:p w14:paraId="13500CB1" w14:textId="77777777" w:rsidR="00C06318" w:rsidRDefault="00C06318" w:rsidP="00C06318">
      <w:pPr>
        <w:pBdr>
          <w:top w:val="single" w:sz="4" w:space="1" w:color="auto"/>
          <w:left w:val="single" w:sz="4" w:space="4" w:color="auto"/>
          <w:bottom w:val="single" w:sz="4" w:space="1" w:color="auto"/>
          <w:right w:val="single" w:sz="4" w:space="4" w:color="auto"/>
        </w:pBdr>
        <w:rPr>
          <w:rFonts w:cs="Arial"/>
        </w:rPr>
      </w:pPr>
    </w:p>
    <w:p w14:paraId="0103B0C1" w14:textId="77777777" w:rsidR="00C06318" w:rsidRDefault="00C06318" w:rsidP="00C06318">
      <w:pPr>
        <w:pBdr>
          <w:top w:val="single" w:sz="4" w:space="1" w:color="auto"/>
          <w:left w:val="single" w:sz="4" w:space="4" w:color="auto"/>
          <w:bottom w:val="single" w:sz="4" w:space="1" w:color="auto"/>
          <w:right w:val="single" w:sz="4" w:space="4" w:color="auto"/>
        </w:pBdr>
        <w:rPr>
          <w:rFonts w:cs="Arial"/>
        </w:rPr>
      </w:pPr>
      <w:r>
        <w:rPr>
          <w:rFonts w:cs="Arial"/>
        </w:rPr>
        <w:t>Herbs are consumed as components of other foods in succulent and dried forms or as extracts of the succulent products.</w:t>
      </w:r>
    </w:p>
    <w:p w14:paraId="05A09669" w14:textId="77777777" w:rsidR="00C06318" w:rsidRDefault="00C06318" w:rsidP="00C06318">
      <w:pPr>
        <w:rPr>
          <w:rFonts w:cs="Arial"/>
        </w:rPr>
      </w:pPr>
    </w:p>
    <w:p w14:paraId="129874FC" w14:textId="77777777" w:rsidR="00C06318" w:rsidRDefault="00C06318" w:rsidP="00C06318">
      <w:pPr>
        <w:rPr>
          <w:rFonts w:cs="Arial"/>
        </w:rPr>
      </w:pPr>
      <w:r>
        <w:rPr>
          <w:rFonts w:cs="Arial"/>
        </w:rPr>
        <w:t>The group Herbs is divided into three subgroups:</w:t>
      </w:r>
    </w:p>
    <w:p w14:paraId="7DCC922D" w14:textId="77777777" w:rsidR="00C06318" w:rsidRDefault="00C06318" w:rsidP="00C06318">
      <w:pPr>
        <w:rPr>
          <w:rFonts w:cs="Arial"/>
        </w:rPr>
      </w:pPr>
    </w:p>
    <w:p w14:paraId="2C10D61D" w14:textId="364D92C9" w:rsidR="00C06318" w:rsidRDefault="004047E5" w:rsidP="00C06318">
      <w:pPr>
        <w:rPr>
          <w:rFonts w:cs="Arial"/>
        </w:rPr>
      </w:pPr>
      <w:r>
        <w:rPr>
          <w:rFonts w:cs="Arial"/>
        </w:rPr>
        <w:t>027A</w:t>
      </w:r>
      <w:r>
        <w:rPr>
          <w:rFonts w:cs="Arial"/>
        </w:rPr>
        <w:tab/>
      </w:r>
      <w:r>
        <w:rPr>
          <w:rFonts w:cs="Arial"/>
        </w:rPr>
        <w:tab/>
      </w:r>
      <w:r w:rsidR="00C06318">
        <w:rPr>
          <w:rFonts w:cs="Arial"/>
        </w:rPr>
        <w:t>Herbs (herbaceous plants)</w:t>
      </w:r>
    </w:p>
    <w:p w14:paraId="1CF2E37D" w14:textId="4D0FA472" w:rsidR="00C06318" w:rsidRDefault="004047E5" w:rsidP="00C06318">
      <w:pPr>
        <w:rPr>
          <w:rFonts w:cs="Arial"/>
        </w:rPr>
      </w:pPr>
      <w:r>
        <w:rPr>
          <w:rFonts w:cs="Arial"/>
        </w:rPr>
        <w:t>027B</w:t>
      </w:r>
      <w:r>
        <w:rPr>
          <w:rFonts w:cs="Arial"/>
        </w:rPr>
        <w:tab/>
      </w:r>
      <w:r>
        <w:rPr>
          <w:rFonts w:cs="Arial"/>
        </w:rPr>
        <w:tab/>
      </w:r>
      <w:r w:rsidR="00C06318">
        <w:rPr>
          <w:rFonts w:cs="Arial"/>
        </w:rPr>
        <w:t>Leaves of woody plants (leaves of shrubs and trees)</w:t>
      </w:r>
    </w:p>
    <w:p w14:paraId="2D0DFACB" w14:textId="72504124" w:rsidR="00C06318" w:rsidRDefault="004047E5" w:rsidP="00C06318">
      <w:pPr>
        <w:rPr>
          <w:rFonts w:cs="Arial"/>
        </w:rPr>
      </w:pPr>
      <w:r>
        <w:rPr>
          <w:rFonts w:cs="Arial"/>
        </w:rPr>
        <w:t>027C</w:t>
      </w:r>
      <w:r>
        <w:rPr>
          <w:rFonts w:cs="Arial"/>
        </w:rPr>
        <w:tab/>
      </w:r>
      <w:r>
        <w:rPr>
          <w:rFonts w:cs="Arial"/>
        </w:rPr>
        <w:tab/>
      </w:r>
      <w:r w:rsidR="00C06318">
        <w:rPr>
          <w:rFonts w:cs="Arial"/>
        </w:rPr>
        <w:t>Edible flowers</w:t>
      </w:r>
    </w:p>
    <w:p w14:paraId="0C5B030F" w14:textId="77777777" w:rsidR="00C06318" w:rsidRDefault="00C06318" w:rsidP="00C06318">
      <w:pPr>
        <w:rPr>
          <w:rFonts w:cs="Arial"/>
        </w:rPr>
      </w:pPr>
    </w:p>
    <w:p w14:paraId="1A910A9A" w14:textId="77777777" w:rsidR="00C06318" w:rsidRDefault="00C06318" w:rsidP="00C06318">
      <w:pPr>
        <w:rPr>
          <w:rFonts w:cs="Arial"/>
        </w:rPr>
      </w:pPr>
      <w:r>
        <w:rPr>
          <w:rFonts w:cs="Arial"/>
        </w:rPr>
        <w:t>The 2018 revisions for spices are as follows:</w:t>
      </w:r>
    </w:p>
    <w:p w14:paraId="4950799B" w14:textId="77777777" w:rsidR="00C06318" w:rsidRDefault="00C06318" w:rsidP="00C06318">
      <w:pPr>
        <w:rPr>
          <w:rFonts w:cs="Arial"/>
        </w:rPr>
      </w:pPr>
    </w:p>
    <w:p w14:paraId="2F5609F9" w14:textId="77777777" w:rsidR="00C06318" w:rsidRDefault="00C06318" w:rsidP="00C06318">
      <w:pPr>
        <w:pBdr>
          <w:top w:val="single" w:sz="4" w:space="1" w:color="auto"/>
          <w:left w:val="single" w:sz="4" w:space="4" w:color="auto"/>
          <w:bottom w:val="single" w:sz="4" w:space="1" w:color="auto"/>
          <w:right w:val="single" w:sz="4" w:space="4" w:color="auto"/>
        </w:pBdr>
        <w:rPr>
          <w:rFonts w:cs="Arial"/>
        </w:rPr>
      </w:pPr>
      <w:r>
        <w:rPr>
          <w:rFonts w:cs="Arial"/>
        </w:rPr>
        <w:t>Spices consist of aromatic seeds, buds, roots, rhizomes, bark, pods, flowers or parts thereof, berries or other fruits from a variety of plants, which are used in relatively small quantities to flavour foods.</w:t>
      </w:r>
    </w:p>
    <w:p w14:paraId="12C9670F" w14:textId="77777777" w:rsidR="00C06318" w:rsidRDefault="00C06318" w:rsidP="00C06318">
      <w:pPr>
        <w:pBdr>
          <w:top w:val="single" w:sz="4" w:space="1" w:color="auto"/>
          <w:left w:val="single" w:sz="4" w:space="4" w:color="auto"/>
          <w:bottom w:val="single" w:sz="4" w:space="1" w:color="auto"/>
          <w:right w:val="single" w:sz="4" w:space="4" w:color="auto"/>
        </w:pBdr>
        <w:rPr>
          <w:rFonts w:cs="Arial"/>
        </w:rPr>
      </w:pPr>
    </w:p>
    <w:p w14:paraId="53835682" w14:textId="77777777" w:rsidR="00C06318" w:rsidRDefault="00C06318" w:rsidP="00C06318">
      <w:pPr>
        <w:pBdr>
          <w:top w:val="single" w:sz="4" w:space="1" w:color="auto"/>
          <w:left w:val="single" w:sz="4" w:space="4" w:color="auto"/>
          <w:bottom w:val="single" w:sz="4" w:space="1" w:color="auto"/>
          <w:right w:val="single" w:sz="4" w:space="4" w:color="auto"/>
        </w:pBdr>
        <w:rPr>
          <w:rFonts w:cs="Arial"/>
        </w:rPr>
      </w:pPr>
      <w:r>
        <w:rPr>
          <w:rFonts w:cs="Arial"/>
        </w:rPr>
        <w:t>Spices are exposed to varying degrees to pesticides applied during the growing season.  Also post harvest treatment may be applied to spices in the dried from.</w:t>
      </w:r>
    </w:p>
    <w:p w14:paraId="709A8B92" w14:textId="77777777" w:rsidR="00C06318" w:rsidRDefault="00C06318" w:rsidP="00C06318">
      <w:pPr>
        <w:pBdr>
          <w:top w:val="single" w:sz="4" w:space="1" w:color="auto"/>
          <w:left w:val="single" w:sz="4" w:space="4" w:color="auto"/>
          <w:bottom w:val="single" w:sz="4" w:space="1" w:color="auto"/>
          <w:right w:val="single" w:sz="4" w:space="4" w:color="auto"/>
        </w:pBdr>
        <w:rPr>
          <w:rFonts w:cs="Arial"/>
        </w:rPr>
      </w:pPr>
    </w:p>
    <w:p w14:paraId="73E951C7" w14:textId="77777777" w:rsidR="00C06318" w:rsidRDefault="00C06318" w:rsidP="00C06318">
      <w:pPr>
        <w:pBdr>
          <w:top w:val="single" w:sz="4" w:space="1" w:color="auto"/>
          <w:left w:val="single" w:sz="4" w:space="4" w:color="auto"/>
          <w:bottom w:val="single" w:sz="4" w:space="1" w:color="auto"/>
          <w:right w:val="single" w:sz="4" w:space="4" w:color="auto"/>
        </w:pBdr>
        <w:rPr>
          <w:rFonts w:cs="Arial"/>
        </w:rPr>
      </w:pPr>
      <w:r>
        <w:rPr>
          <w:rFonts w:cs="Arial"/>
        </w:rPr>
        <w:t>They are consumed primarily in the dried form as condiments.</w:t>
      </w:r>
    </w:p>
    <w:p w14:paraId="58F3354E" w14:textId="77777777" w:rsidR="00C06318" w:rsidRDefault="00C06318" w:rsidP="00C06318">
      <w:pPr>
        <w:pBdr>
          <w:top w:val="single" w:sz="4" w:space="1" w:color="auto"/>
          <w:left w:val="single" w:sz="4" w:space="4" w:color="auto"/>
          <w:bottom w:val="single" w:sz="4" w:space="1" w:color="auto"/>
          <w:right w:val="single" w:sz="4" w:space="4" w:color="auto"/>
        </w:pBdr>
        <w:rPr>
          <w:rFonts w:cs="Arial"/>
        </w:rPr>
      </w:pPr>
    </w:p>
    <w:p w14:paraId="0550CE7A" w14:textId="786F7476" w:rsidR="00FA4B0F" w:rsidRDefault="00FA4B0F">
      <w:pPr>
        <w:widowControl/>
        <w:rPr>
          <w:rFonts w:cs="Arial"/>
        </w:rPr>
      </w:pPr>
      <w:r>
        <w:rPr>
          <w:rFonts w:cs="Arial"/>
        </w:rPr>
        <w:br w:type="page"/>
      </w:r>
    </w:p>
    <w:p w14:paraId="080DC955" w14:textId="77777777" w:rsidR="00C06318" w:rsidRDefault="00C06318" w:rsidP="00C06318">
      <w:pPr>
        <w:rPr>
          <w:rFonts w:cs="Arial"/>
        </w:rPr>
      </w:pPr>
      <w:r>
        <w:rPr>
          <w:rFonts w:cs="Arial"/>
        </w:rPr>
        <w:lastRenderedPageBreak/>
        <w:t>The group Spices is divided into nine subgroups:</w:t>
      </w:r>
    </w:p>
    <w:p w14:paraId="13F17F66" w14:textId="77777777" w:rsidR="00C06318" w:rsidRDefault="00C06318" w:rsidP="00C06318">
      <w:pPr>
        <w:rPr>
          <w:rFonts w:cs="Arial"/>
        </w:rPr>
      </w:pPr>
    </w:p>
    <w:p w14:paraId="32B12467" w14:textId="6DCC6952" w:rsidR="00C06318" w:rsidRDefault="004047E5" w:rsidP="00C06318">
      <w:pPr>
        <w:rPr>
          <w:rFonts w:cs="Arial"/>
        </w:rPr>
      </w:pPr>
      <w:r>
        <w:rPr>
          <w:rFonts w:cs="Arial"/>
        </w:rPr>
        <w:t>028A</w:t>
      </w:r>
      <w:r>
        <w:rPr>
          <w:rFonts w:cs="Arial"/>
        </w:rPr>
        <w:tab/>
      </w:r>
      <w:r>
        <w:rPr>
          <w:rFonts w:cs="Arial"/>
        </w:rPr>
        <w:tab/>
      </w:r>
      <w:r w:rsidR="00C06318">
        <w:rPr>
          <w:rFonts w:cs="Arial"/>
        </w:rPr>
        <w:t>Spices, seeds</w:t>
      </w:r>
    </w:p>
    <w:p w14:paraId="50CE4DAC" w14:textId="0E95A4E4" w:rsidR="00C06318" w:rsidRDefault="000B1C2B" w:rsidP="00C06318">
      <w:pPr>
        <w:rPr>
          <w:rFonts w:cs="Arial"/>
        </w:rPr>
      </w:pPr>
      <w:r>
        <w:rPr>
          <w:rFonts w:cs="Arial"/>
        </w:rPr>
        <w:t>028B</w:t>
      </w:r>
      <w:r w:rsidR="004047E5">
        <w:rPr>
          <w:rFonts w:cs="Arial"/>
        </w:rPr>
        <w:tab/>
      </w:r>
      <w:r w:rsidR="004047E5">
        <w:rPr>
          <w:rFonts w:cs="Arial"/>
        </w:rPr>
        <w:tab/>
      </w:r>
      <w:r w:rsidR="00C06318">
        <w:rPr>
          <w:rFonts w:cs="Arial"/>
        </w:rPr>
        <w:t>Spices, fruit or berry</w:t>
      </w:r>
    </w:p>
    <w:p w14:paraId="1586998D" w14:textId="5CDF10CA" w:rsidR="00C06318" w:rsidRDefault="004047E5" w:rsidP="00C06318">
      <w:pPr>
        <w:rPr>
          <w:rFonts w:cs="Arial"/>
        </w:rPr>
      </w:pPr>
      <w:r>
        <w:rPr>
          <w:rFonts w:cs="Arial"/>
        </w:rPr>
        <w:t>028C</w:t>
      </w:r>
      <w:r>
        <w:rPr>
          <w:rFonts w:cs="Arial"/>
        </w:rPr>
        <w:tab/>
      </w:r>
      <w:r>
        <w:rPr>
          <w:rFonts w:cs="Arial"/>
        </w:rPr>
        <w:tab/>
      </w:r>
      <w:r w:rsidR="00C06318">
        <w:rPr>
          <w:rFonts w:cs="Arial"/>
        </w:rPr>
        <w:t>Spices, bark</w:t>
      </w:r>
    </w:p>
    <w:p w14:paraId="67BD766F" w14:textId="14F179B0" w:rsidR="00C06318" w:rsidRDefault="004047E5" w:rsidP="00C06318">
      <w:pPr>
        <w:rPr>
          <w:rFonts w:cs="Arial"/>
        </w:rPr>
      </w:pPr>
      <w:r>
        <w:rPr>
          <w:rFonts w:cs="Arial"/>
        </w:rPr>
        <w:t>028D</w:t>
      </w:r>
      <w:r>
        <w:rPr>
          <w:rFonts w:cs="Arial"/>
        </w:rPr>
        <w:tab/>
      </w:r>
      <w:r>
        <w:rPr>
          <w:rFonts w:cs="Arial"/>
        </w:rPr>
        <w:tab/>
      </w:r>
      <w:r w:rsidR="00C06318">
        <w:rPr>
          <w:rFonts w:cs="Arial"/>
        </w:rPr>
        <w:t>Spices, root or rhizome</w:t>
      </w:r>
    </w:p>
    <w:p w14:paraId="6A7573B6" w14:textId="0B996E3B" w:rsidR="00C06318" w:rsidRDefault="004047E5" w:rsidP="00C06318">
      <w:pPr>
        <w:rPr>
          <w:rFonts w:cs="Arial"/>
        </w:rPr>
      </w:pPr>
      <w:r>
        <w:rPr>
          <w:rFonts w:cs="Arial"/>
        </w:rPr>
        <w:t>028E</w:t>
      </w:r>
      <w:r>
        <w:rPr>
          <w:rFonts w:cs="Arial"/>
        </w:rPr>
        <w:tab/>
      </w:r>
      <w:r>
        <w:rPr>
          <w:rFonts w:cs="Arial"/>
        </w:rPr>
        <w:tab/>
      </w:r>
      <w:r w:rsidR="00C06318">
        <w:rPr>
          <w:rFonts w:cs="Arial"/>
        </w:rPr>
        <w:t>Spices, buds</w:t>
      </w:r>
    </w:p>
    <w:p w14:paraId="36E502D5" w14:textId="1B1593EA" w:rsidR="00C06318" w:rsidRDefault="004047E5" w:rsidP="00C06318">
      <w:pPr>
        <w:rPr>
          <w:rFonts w:cs="Arial"/>
        </w:rPr>
      </w:pPr>
      <w:r>
        <w:rPr>
          <w:rFonts w:cs="Arial"/>
        </w:rPr>
        <w:t>028F</w:t>
      </w:r>
      <w:r>
        <w:rPr>
          <w:rFonts w:cs="Arial"/>
        </w:rPr>
        <w:tab/>
      </w:r>
      <w:r>
        <w:rPr>
          <w:rFonts w:cs="Arial"/>
        </w:rPr>
        <w:tab/>
      </w:r>
      <w:r w:rsidR="00C06318">
        <w:rPr>
          <w:rFonts w:cs="Arial"/>
        </w:rPr>
        <w:t>Flower or stigma</w:t>
      </w:r>
    </w:p>
    <w:p w14:paraId="0AAA6692" w14:textId="0A54BA6D" w:rsidR="00C06318" w:rsidRDefault="004047E5" w:rsidP="00C06318">
      <w:pPr>
        <w:rPr>
          <w:rFonts w:cs="Arial"/>
        </w:rPr>
      </w:pPr>
      <w:r>
        <w:rPr>
          <w:rFonts w:cs="Arial"/>
        </w:rPr>
        <w:t>028G</w:t>
      </w:r>
      <w:r>
        <w:rPr>
          <w:rFonts w:cs="Arial"/>
        </w:rPr>
        <w:tab/>
      </w:r>
      <w:r>
        <w:rPr>
          <w:rFonts w:cs="Arial"/>
        </w:rPr>
        <w:tab/>
      </w:r>
      <w:r w:rsidR="00C06318">
        <w:rPr>
          <w:rFonts w:cs="Arial"/>
        </w:rPr>
        <w:t>Spices, aril</w:t>
      </w:r>
    </w:p>
    <w:p w14:paraId="462DA390" w14:textId="50683210" w:rsidR="00C06318" w:rsidRDefault="004047E5" w:rsidP="00C06318">
      <w:pPr>
        <w:rPr>
          <w:rFonts w:cs="Arial"/>
        </w:rPr>
      </w:pPr>
      <w:r>
        <w:rPr>
          <w:rFonts w:cs="Arial"/>
        </w:rPr>
        <w:t>028H</w:t>
      </w:r>
      <w:r>
        <w:rPr>
          <w:rFonts w:cs="Arial"/>
        </w:rPr>
        <w:tab/>
      </w:r>
      <w:r>
        <w:rPr>
          <w:rFonts w:cs="Arial"/>
        </w:rPr>
        <w:tab/>
      </w:r>
      <w:r w:rsidR="00C06318">
        <w:rPr>
          <w:rFonts w:cs="Arial"/>
        </w:rPr>
        <w:t>Spices, Citrus peel</w:t>
      </w:r>
    </w:p>
    <w:p w14:paraId="6FDD87E4" w14:textId="13AF4848" w:rsidR="000B1C2B" w:rsidRDefault="004047E5" w:rsidP="00C06318">
      <w:pPr>
        <w:rPr>
          <w:rFonts w:cs="Arial"/>
        </w:rPr>
      </w:pPr>
      <w:r>
        <w:rPr>
          <w:rFonts w:cs="Arial"/>
        </w:rPr>
        <w:t>028I</w:t>
      </w:r>
      <w:r>
        <w:rPr>
          <w:rFonts w:cs="Arial"/>
        </w:rPr>
        <w:tab/>
      </w:r>
      <w:r>
        <w:rPr>
          <w:rFonts w:cs="Arial"/>
        </w:rPr>
        <w:tab/>
      </w:r>
      <w:r w:rsidR="000B1C2B">
        <w:rPr>
          <w:rFonts w:cs="Arial"/>
        </w:rPr>
        <w:t>Dried chilli peppers</w:t>
      </w:r>
    </w:p>
    <w:p w14:paraId="7CFA64FB" w14:textId="77777777" w:rsidR="00C06318" w:rsidRDefault="00C06318" w:rsidP="00C06318">
      <w:pPr>
        <w:rPr>
          <w:rFonts w:cs="Arial"/>
        </w:rPr>
      </w:pPr>
    </w:p>
    <w:p w14:paraId="2D00EB05" w14:textId="4CE91854" w:rsidR="00C06318" w:rsidRPr="00B16F23" w:rsidRDefault="00C06318" w:rsidP="00C06318">
      <w:pPr>
        <w:rPr>
          <w:rFonts w:cs="Arial"/>
          <w:i/>
        </w:rPr>
      </w:pPr>
      <w:r w:rsidRPr="00B16F23">
        <w:rPr>
          <w:rFonts w:cs="Arial"/>
          <w:i/>
        </w:rPr>
        <w:t>Codex Guideline CAC/GL 41-1993 (Rev 2010) Portion of Commodities to which Maximum Residues Limits Apply and which is Analysed</w:t>
      </w:r>
    </w:p>
    <w:p w14:paraId="1744DFC8" w14:textId="77777777" w:rsidR="00C06318" w:rsidRDefault="00C06318" w:rsidP="00C06318">
      <w:pPr>
        <w:rPr>
          <w:rFonts w:cs="Arial"/>
        </w:rPr>
      </w:pPr>
    </w:p>
    <w:p w14:paraId="4849C1A4" w14:textId="51629EAA" w:rsidR="00C06318" w:rsidRDefault="00C06318" w:rsidP="00C06318">
      <w:pPr>
        <w:rPr>
          <w:rFonts w:cs="Arial"/>
        </w:rPr>
      </w:pPr>
      <w:r>
        <w:rPr>
          <w:rFonts w:cs="Arial"/>
        </w:rPr>
        <w:t xml:space="preserve">Under </w:t>
      </w:r>
      <w:r w:rsidR="00896FA3">
        <w:rPr>
          <w:rFonts w:cs="Arial"/>
        </w:rPr>
        <w:t>this guideline</w:t>
      </w:r>
      <w:r>
        <w:rPr>
          <w:rFonts w:cs="Arial"/>
        </w:rPr>
        <w:t>,</w:t>
      </w:r>
      <w:r w:rsidRPr="003C7BCC">
        <w:rPr>
          <w:rFonts w:cs="Arial"/>
        </w:rPr>
        <w:t xml:space="preserve"> </w:t>
      </w:r>
      <w:r>
        <w:rPr>
          <w:rFonts w:cs="Arial"/>
        </w:rPr>
        <w:t>the</w:t>
      </w:r>
      <w:r w:rsidR="00896FA3">
        <w:rPr>
          <w:rFonts w:cs="Arial"/>
        </w:rPr>
        <w:t xml:space="preserve"> definitions for herbs and s</w:t>
      </w:r>
      <w:r w:rsidRPr="003C7BCC">
        <w:rPr>
          <w:rFonts w:cs="Arial"/>
        </w:rPr>
        <w:t>pices</w:t>
      </w:r>
      <w:r>
        <w:rPr>
          <w:rFonts w:cs="Arial"/>
        </w:rPr>
        <w:t xml:space="preserve"> are as follows</w:t>
      </w:r>
      <w:r w:rsidRPr="003C7BCC">
        <w:rPr>
          <w:rFonts w:cs="Arial"/>
        </w:rPr>
        <w:t>:</w:t>
      </w:r>
    </w:p>
    <w:p w14:paraId="38495390" w14:textId="77777777" w:rsidR="00C06318" w:rsidRDefault="00C06318" w:rsidP="00C06318">
      <w:pPr>
        <w:rPr>
          <w:rFonts w:cs="Arial"/>
        </w:rPr>
      </w:pPr>
    </w:p>
    <w:p w14:paraId="70179958" w14:textId="77777777" w:rsidR="00C06318" w:rsidRDefault="00C06318" w:rsidP="00C06318">
      <w:pPr>
        <w:pStyle w:val="FSBullet1"/>
        <w:numPr>
          <w:ilvl w:val="0"/>
          <w:numId w:val="0"/>
        </w:numPr>
        <w:pBdr>
          <w:top w:val="single" w:sz="4" w:space="1" w:color="auto"/>
          <w:left w:val="single" w:sz="4" w:space="4" w:color="auto"/>
          <w:bottom w:val="single" w:sz="4" w:space="1" w:color="auto"/>
          <w:right w:val="single" w:sz="4" w:space="4" w:color="auto"/>
        </w:pBdr>
        <w:ind w:left="360"/>
      </w:pPr>
      <w:r w:rsidRPr="004E53B9">
        <w:t>Herbs consist of</w:t>
      </w:r>
      <w:r>
        <w:t xml:space="preserve"> leaves, stems and roots from a </w:t>
      </w:r>
      <w:r w:rsidRPr="004E53B9">
        <w:t xml:space="preserve">variety of herbaceous </w:t>
      </w:r>
      <w:r>
        <w:t xml:space="preserve">plants used in relatively small </w:t>
      </w:r>
      <w:r w:rsidRPr="004E53B9">
        <w:t>amounts to flavour other foods.</w:t>
      </w:r>
      <w:r>
        <w:t xml:space="preserve"> They are consumed in succulent or dried forms as components of other foods.</w:t>
      </w:r>
    </w:p>
    <w:p w14:paraId="5462C399" w14:textId="77777777" w:rsidR="00C06318" w:rsidRPr="00042B1D" w:rsidRDefault="00C06318" w:rsidP="00C06318">
      <w:pPr>
        <w:rPr>
          <w:lang w:bidi="ar-SA"/>
        </w:rPr>
      </w:pPr>
    </w:p>
    <w:p w14:paraId="6BF69D85" w14:textId="77777777" w:rsidR="00C06318" w:rsidRDefault="00C06318" w:rsidP="00C06318">
      <w:pPr>
        <w:pStyle w:val="FSBullet1"/>
        <w:numPr>
          <w:ilvl w:val="0"/>
          <w:numId w:val="0"/>
        </w:numPr>
        <w:pBdr>
          <w:top w:val="single" w:sz="4" w:space="1" w:color="auto"/>
          <w:left w:val="single" w:sz="4" w:space="4" w:color="auto"/>
          <w:bottom w:val="single" w:sz="4" w:space="1" w:color="auto"/>
          <w:right w:val="single" w:sz="4" w:space="4" w:color="auto"/>
        </w:pBdr>
        <w:ind w:left="360"/>
      </w:pPr>
      <w:r w:rsidRPr="004E53B9">
        <w:t>Spices consist of aromatic seeds, roots, fruits and</w:t>
      </w:r>
      <w:r>
        <w:t xml:space="preserve"> </w:t>
      </w:r>
      <w:r w:rsidRPr="004E53B9">
        <w:t>berries from a variety of plants used in relatively</w:t>
      </w:r>
      <w:r>
        <w:t xml:space="preserve"> </w:t>
      </w:r>
      <w:r w:rsidRPr="004E53B9">
        <w:t>small amount to flavour other foo</w:t>
      </w:r>
      <w:r>
        <w:t>ds. They are consumed primarily in the dried form as components of other foods.</w:t>
      </w:r>
    </w:p>
    <w:p w14:paraId="6F05E875" w14:textId="1F792690" w:rsidR="00C06318" w:rsidRPr="00B908C1" w:rsidRDefault="00C06318" w:rsidP="00C06318">
      <w:pPr>
        <w:spacing w:before="240" w:after="240"/>
        <w:rPr>
          <w:rFonts w:cs="Arial"/>
          <w:b/>
        </w:rPr>
      </w:pPr>
      <w:r w:rsidRPr="00B908C1">
        <w:rPr>
          <w:rFonts w:cs="Arial"/>
          <w:b/>
        </w:rPr>
        <w:t>1.2.2</w:t>
      </w:r>
      <w:r w:rsidR="0088641D" w:rsidRPr="00B908C1">
        <w:rPr>
          <w:rFonts w:cs="Arial"/>
          <w:b/>
        </w:rPr>
        <w:tab/>
      </w:r>
      <w:r w:rsidRPr="00B908C1">
        <w:rPr>
          <w:rFonts w:cs="Arial"/>
          <w:b/>
        </w:rPr>
        <w:t>Codex Committee on Food Hygiene</w:t>
      </w:r>
    </w:p>
    <w:p w14:paraId="50B3B522" w14:textId="68DB10C3" w:rsidR="00C06318" w:rsidRDefault="00C06318" w:rsidP="00C06318">
      <w:pPr>
        <w:rPr>
          <w:rFonts w:cs="Arial"/>
        </w:rPr>
      </w:pPr>
      <w:r>
        <w:rPr>
          <w:rFonts w:cs="Arial"/>
        </w:rPr>
        <w:t>The General Standard for Irradiated Foods (Codex Stan 106-1983, Rev.1-2003) does not apply to specific foods</w:t>
      </w:r>
      <w:r w:rsidR="00896FA3">
        <w:rPr>
          <w:rFonts w:cs="Arial"/>
        </w:rPr>
        <w:t xml:space="preserve"> (CCFH 1983)</w:t>
      </w:r>
      <w:r>
        <w:rPr>
          <w:rFonts w:cs="Arial"/>
        </w:rPr>
        <w:t>.</w:t>
      </w:r>
    </w:p>
    <w:p w14:paraId="1938B118" w14:textId="77777777" w:rsidR="00C06318" w:rsidRDefault="00C06318" w:rsidP="00C06318">
      <w:pPr>
        <w:rPr>
          <w:rFonts w:cs="Arial"/>
        </w:rPr>
      </w:pPr>
    </w:p>
    <w:p w14:paraId="2EEEB418" w14:textId="48E7C166" w:rsidR="00C06318" w:rsidRDefault="00C06318" w:rsidP="00C06318">
      <w:pPr>
        <w:rPr>
          <w:rFonts w:cs="Arial"/>
        </w:rPr>
      </w:pPr>
      <w:r>
        <w:rPr>
          <w:rFonts w:cs="Arial"/>
        </w:rPr>
        <w:t xml:space="preserve">Under the </w:t>
      </w:r>
      <w:r w:rsidRPr="00727AD1">
        <w:rPr>
          <w:rFonts w:cs="Arial"/>
          <w:i/>
        </w:rPr>
        <w:t>Code of Hygienic Practice for Low-moisture Foods (Annex III on Spices and Dried Aromatic Herbs</w:t>
      </w:r>
      <w:r w:rsidRPr="00727AD1">
        <w:rPr>
          <w:rFonts w:cs="Arial"/>
        </w:rPr>
        <w:t xml:space="preserve"> (CAC</w:t>
      </w:r>
      <w:r>
        <w:rPr>
          <w:rFonts w:cs="Arial"/>
        </w:rPr>
        <w:t>/</w:t>
      </w:r>
      <w:r w:rsidR="002A315C">
        <w:rPr>
          <w:rFonts w:cs="Arial"/>
        </w:rPr>
        <w:t>RCP 75-2015, Rev. 2018</w:t>
      </w:r>
      <w:r w:rsidRPr="00727AD1">
        <w:rPr>
          <w:rFonts w:cs="Arial"/>
        </w:rPr>
        <w:t>,</w:t>
      </w:r>
      <w:r>
        <w:rPr>
          <w:rFonts w:cs="Arial"/>
        </w:rPr>
        <w:t xml:space="preserve"> the following definition is contained in Annex III (Annex on Spices and Dried Aromatic Herbs)</w:t>
      </w:r>
      <w:r w:rsidR="002A315C">
        <w:rPr>
          <w:rFonts w:cs="Arial"/>
        </w:rPr>
        <w:t xml:space="preserve"> (CCFH 2015)</w:t>
      </w:r>
      <w:r>
        <w:rPr>
          <w:rFonts w:cs="Arial"/>
        </w:rPr>
        <w:t>:</w:t>
      </w:r>
    </w:p>
    <w:p w14:paraId="167FD669" w14:textId="77777777" w:rsidR="00C06318" w:rsidRDefault="00C06318" w:rsidP="00C06318">
      <w:pPr>
        <w:rPr>
          <w:rFonts w:cs="Arial"/>
        </w:rPr>
      </w:pPr>
    </w:p>
    <w:p w14:paraId="41513DE1" w14:textId="77777777" w:rsidR="00C06318" w:rsidRPr="00EB4577" w:rsidRDefault="00C06318" w:rsidP="00C06318">
      <w:pPr>
        <w:pBdr>
          <w:top w:val="single" w:sz="4" w:space="1" w:color="auto"/>
          <w:left w:val="single" w:sz="4" w:space="4" w:color="auto"/>
          <w:bottom w:val="single" w:sz="4" w:space="1" w:color="auto"/>
          <w:right w:val="single" w:sz="4" w:space="4" w:color="auto"/>
        </w:pBdr>
        <w:rPr>
          <w:szCs w:val="22"/>
        </w:rPr>
      </w:pPr>
      <w:r w:rsidRPr="00EB4577">
        <w:rPr>
          <w:b/>
          <w:bCs/>
          <w:szCs w:val="22"/>
        </w:rPr>
        <w:t xml:space="preserve">2.3 Definitions Spices and Dried Culinary Herbs – </w:t>
      </w:r>
      <w:r w:rsidRPr="00EB4577">
        <w:rPr>
          <w:szCs w:val="22"/>
        </w:rPr>
        <w:t xml:space="preserve">dried plants or parts of plants (roots, rhizomes, bulbs, leaves, bark, flowers, fruits, and seeds) used in foods for flavouring, colouring, and imparting aroma. This term equally applies to whole, broken, ground and blended forms. </w:t>
      </w:r>
    </w:p>
    <w:p w14:paraId="64BFC25E" w14:textId="77777777" w:rsidR="00C06318" w:rsidRDefault="00C06318" w:rsidP="00C06318">
      <w:pPr>
        <w:rPr>
          <w:rFonts w:cs="Arial"/>
        </w:rPr>
      </w:pPr>
    </w:p>
    <w:p w14:paraId="2B9083FD" w14:textId="19532CCD" w:rsidR="00C06318" w:rsidRDefault="00C06318" w:rsidP="00C06318">
      <w:pPr>
        <w:rPr>
          <w:rFonts w:cs="Arial"/>
        </w:rPr>
      </w:pPr>
      <w:r>
        <w:rPr>
          <w:rFonts w:cs="Arial"/>
        </w:rPr>
        <w:t>Annex III (Annex on Spices and Culinary Herbs) contain</w:t>
      </w:r>
      <w:r w:rsidR="002618EF">
        <w:rPr>
          <w:rFonts w:cs="Arial"/>
        </w:rPr>
        <w:t>s</w:t>
      </w:r>
      <w:r>
        <w:rPr>
          <w:rFonts w:cs="Arial"/>
        </w:rPr>
        <w:t xml:space="preserve"> the following text on scope and microbial reduction treatments (including irradiation), respectively:</w:t>
      </w:r>
    </w:p>
    <w:p w14:paraId="622453B4" w14:textId="77777777" w:rsidR="00C06318" w:rsidRDefault="00C06318" w:rsidP="00C06318">
      <w:pPr>
        <w:rPr>
          <w:rFonts w:cs="Arial"/>
        </w:rPr>
      </w:pPr>
    </w:p>
    <w:p w14:paraId="26AC1595" w14:textId="77777777" w:rsidR="00C06318" w:rsidRPr="00EB4577" w:rsidRDefault="00C06318" w:rsidP="009F6691">
      <w:pPr>
        <w:pBdr>
          <w:top w:val="single" w:sz="4" w:space="1" w:color="auto"/>
          <w:left w:val="single" w:sz="4" w:space="4" w:color="auto"/>
          <w:bottom w:val="single" w:sz="4" w:space="7" w:color="auto"/>
          <w:right w:val="single" w:sz="4" w:space="4" w:color="auto"/>
        </w:pBdr>
        <w:rPr>
          <w:i/>
          <w:szCs w:val="22"/>
        </w:rPr>
      </w:pPr>
      <w:r w:rsidRPr="00EB4577">
        <w:rPr>
          <w:i/>
          <w:szCs w:val="22"/>
        </w:rPr>
        <w:t xml:space="preserve">2.1 Scope </w:t>
      </w:r>
    </w:p>
    <w:p w14:paraId="32C4ABE7" w14:textId="77777777" w:rsidR="00C06318" w:rsidRPr="00EB4577" w:rsidRDefault="00C06318" w:rsidP="009F6691">
      <w:pPr>
        <w:pBdr>
          <w:top w:val="single" w:sz="4" w:space="1" w:color="auto"/>
          <w:left w:val="single" w:sz="4" w:space="4" w:color="auto"/>
          <w:bottom w:val="single" w:sz="4" w:space="7" w:color="auto"/>
          <w:right w:val="single" w:sz="4" w:space="4" w:color="auto"/>
        </w:pBdr>
        <w:rPr>
          <w:szCs w:val="22"/>
        </w:rPr>
      </w:pPr>
      <w:r w:rsidRPr="00EB4577">
        <w:rPr>
          <w:szCs w:val="22"/>
        </w:rPr>
        <w:t>This Annex applies to spices and dried culinary herbs - whole, broken, ground or blended. Spices and dried culinary herbs may include the dried aril (e.g. the mace of nutmeg), bark (e.g. cinnamon), berries (e.g. black pepper), buds (e.g. clove), bulbs (e.g. dried garlic), leaves (e.g. dried basil), rhizomes (e.g. ginger, turmeric), seeds (e.g. mustard), stigmas (e.g. saffron), pods (e.g. vanilla), resins (e.g. asafoetida), fruits (e.g. dried chilli) or plant tops (e.g. dried chives).</w:t>
      </w:r>
    </w:p>
    <w:p w14:paraId="3E038E4A" w14:textId="77777777" w:rsidR="00C06318" w:rsidRPr="00EB4577" w:rsidRDefault="00C06318" w:rsidP="009F6691">
      <w:pPr>
        <w:pBdr>
          <w:top w:val="single" w:sz="4" w:space="1" w:color="auto"/>
          <w:left w:val="single" w:sz="4" w:space="4" w:color="auto"/>
          <w:bottom w:val="single" w:sz="4" w:space="7" w:color="auto"/>
          <w:right w:val="single" w:sz="4" w:space="4" w:color="auto"/>
        </w:pBdr>
        <w:rPr>
          <w:szCs w:val="22"/>
        </w:rPr>
      </w:pPr>
    </w:p>
    <w:p w14:paraId="297690C4" w14:textId="0B515B38" w:rsidR="00C06318" w:rsidRDefault="00C06318" w:rsidP="009F6691">
      <w:pPr>
        <w:pBdr>
          <w:top w:val="single" w:sz="4" w:space="1" w:color="auto"/>
          <w:left w:val="single" w:sz="4" w:space="4" w:color="auto"/>
          <w:bottom w:val="single" w:sz="4" w:space="7" w:color="auto"/>
          <w:right w:val="single" w:sz="4" w:space="4" w:color="auto"/>
        </w:pBdr>
        <w:rPr>
          <w:szCs w:val="22"/>
        </w:rPr>
      </w:pPr>
      <w:r w:rsidRPr="00EB4577">
        <w:rPr>
          <w:szCs w:val="22"/>
        </w:rPr>
        <w:t xml:space="preserve">It covers the minimum requirements of hygiene for growing, harvesting and post-harvest practices (e.g. curing, bleaching, blanching, cutting, drying, cleaning, grading, packing, transportation and storage, including disinfestation and fumigation) processing establishment, processing technology and practices (e.g. grinding, blending, freezing and </w:t>
      </w:r>
      <w:r w:rsidRPr="00EB4577">
        <w:rPr>
          <w:szCs w:val="22"/>
        </w:rPr>
        <w:lastRenderedPageBreak/>
        <w:t>freeze-drying, treatments to reduce the microbial load) packaging and storage of processed products. For spices and culinary herbs collected from the wild, only the measures for handling and post-harvest activities (i.e. from section 3.3.2 onward) apply.</w:t>
      </w:r>
    </w:p>
    <w:p w14:paraId="4B253BA6" w14:textId="77777777" w:rsidR="009F6691" w:rsidRDefault="009F6691" w:rsidP="009F6691">
      <w:pPr>
        <w:pBdr>
          <w:top w:val="single" w:sz="4" w:space="1" w:color="auto"/>
          <w:left w:val="single" w:sz="4" w:space="4" w:color="auto"/>
          <w:bottom w:val="single" w:sz="4" w:space="7" w:color="auto"/>
          <w:right w:val="single" w:sz="4" w:space="4" w:color="auto"/>
        </w:pBdr>
        <w:rPr>
          <w:rFonts w:cs="Arial"/>
        </w:rPr>
      </w:pPr>
    </w:p>
    <w:p w14:paraId="2F2B6063" w14:textId="77777777" w:rsidR="00C06318" w:rsidRPr="00EB4577" w:rsidRDefault="00C06318" w:rsidP="009F6691">
      <w:pPr>
        <w:pStyle w:val="Default"/>
        <w:pBdr>
          <w:top w:val="single" w:sz="4" w:space="1" w:color="auto"/>
          <w:left w:val="single" w:sz="4" w:space="4" w:color="auto"/>
          <w:bottom w:val="single" w:sz="4" w:space="7" w:color="auto"/>
          <w:right w:val="single" w:sz="4" w:space="4" w:color="auto"/>
        </w:pBdr>
        <w:rPr>
          <w:sz w:val="22"/>
          <w:szCs w:val="22"/>
        </w:rPr>
      </w:pPr>
      <w:r w:rsidRPr="00EB4577">
        <w:rPr>
          <w:i/>
          <w:iCs/>
          <w:sz w:val="22"/>
          <w:szCs w:val="22"/>
        </w:rPr>
        <w:t xml:space="preserve">5.2.2.3 Microbial Reduction Treatments </w:t>
      </w:r>
    </w:p>
    <w:p w14:paraId="2E1D762E" w14:textId="77777777" w:rsidR="00C06318" w:rsidRPr="00EB4577" w:rsidRDefault="00C06318" w:rsidP="009F6691">
      <w:pPr>
        <w:pStyle w:val="Default"/>
        <w:pBdr>
          <w:top w:val="single" w:sz="4" w:space="1" w:color="auto"/>
          <w:left w:val="single" w:sz="4" w:space="4" w:color="auto"/>
          <w:bottom w:val="single" w:sz="4" w:space="7" w:color="auto"/>
          <w:right w:val="single" w:sz="4" w:space="4" w:color="auto"/>
        </w:pBdr>
        <w:rPr>
          <w:sz w:val="22"/>
          <w:szCs w:val="22"/>
        </w:rPr>
      </w:pPr>
      <w:r w:rsidRPr="00EB4577">
        <w:rPr>
          <w:sz w:val="22"/>
          <w:szCs w:val="22"/>
        </w:rPr>
        <w:t xml:space="preserve">In order to control microbiological contamination, appropriate methods of treatment may be used in accordance with the regulations set by the competent authority. When necessary to reduce risk, spices and dried culinary herbs should be treated with a validated microbial reduction treatment prior to reaching the consumer in order to inactivate pathogens such as </w:t>
      </w:r>
      <w:r w:rsidRPr="00EB4577">
        <w:rPr>
          <w:i/>
          <w:iCs/>
          <w:sz w:val="22"/>
          <w:szCs w:val="22"/>
        </w:rPr>
        <w:t>Salmonella</w:t>
      </w:r>
      <w:r w:rsidRPr="00EB4577">
        <w:rPr>
          <w:sz w:val="22"/>
          <w:szCs w:val="22"/>
        </w:rPr>
        <w:t xml:space="preserve">. For additional information on validation, refer to the </w:t>
      </w:r>
      <w:r w:rsidRPr="00EB4577">
        <w:rPr>
          <w:i/>
          <w:iCs/>
          <w:sz w:val="22"/>
          <w:szCs w:val="22"/>
        </w:rPr>
        <w:t xml:space="preserve">Guidelines for the Validation of Food Safety Control Measures </w:t>
      </w:r>
      <w:r w:rsidRPr="00EB4577">
        <w:rPr>
          <w:sz w:val="22"/>
          <w:szCs w:val="22"/>
        </w:rPr>
        <w:t xml:space="preserve">(CXG 69-2008). Commonly used methods involve the application of steam, fumigation or radiation. Where spices and dried culinary herbs are irradiated, refer to the </w:t>
      </w:r>
      <w:r w:rsidRPr="00EB4577">
        <w:rPr>
          <w:i/>
          <w:iCs/>
          <w:sz w:val="22"/>
          <w:szCs w:val="22"/>
        </w:rPr>
        <w:t xml:space="preserve">Code of Practice for Radiation Processing of Food </w:t>
      </w:r>
      <w:r w:rsidRPr="00EB4577">
        <w:rPr>
          <w:sz w:val="22"/>
          <w:szCs w:val="22"/>
        </w:rPr>
        <w:t xml:space="preserve">(CXC 19-1979) and the </w:t>
      </w:r>
      <w:r w:rsidRPr="00EB4577">
        <w:rPr>
          <w:i/>
          <w:iCs/>
          <w:sz w:val="22"/>
          <w:szCs w:val="22"/>
        </w:rPr>
        <w:t xml:space="preserve">General Standard for Irradiated Foods </w:t>
      </w:r>
      <w:r w:rsidRPr="00EB4577">
        <w:rPr>
          <w:sz w:val="22"/>
          <w:szCs w:val="22"/>
        </w:rPr>
        <w:t xml:space="preserve">(CXS 106-1983). </w:t>
      </w:r>
    </w:p>
    <w:p w14:paraId="7F7B1C0C" w14:textId="77777777" w:rsidR="009F6691" w:rsidRDefault="009F6691" w:rsidP="009F6691">
      <w:pPr>
        <w:pStyle w:val="Default"/>
        <w:pBdr>
          <w:top w:val="single" w:sz="4" w:space="1" w:color="auto"/>
          <w:left w:val="single" w:sz="4" w:space="4" w:color="auto"/>
          <w:bottom w:val="single" w:sz="4" w:space="7" w:color="auto"/>
          <w:right w:val="single" w:sz="4" w:space="4" w:color="auto"/>
        </w:pBdr>
        <w:rPr>
          <w:sz w:val="22"/>
          <w:szCs w:val="22"/>
        </w:rPr>
      </w:pPr>
    </w:p>
    <w:p w14:paraId="3B4B8FBD" w14:textId="4A718153" w:rsidR="00C06318" w:rsidRPr="00EB4577" w:rsidRDefault="00C06318" w:rsidP="009F6691">
      <w:pPr>
        <w:pStyle w:val="Default"/>
        <w:pBdr>
          <w:top w:val="single" w:sz="4" w:space="1" w:color="auto"/>
          <w:left w:val="single" w:sz="4" w:space="4" w:color="auto"/>
          <w:bottom w:val="single" w:sz="4" w:space="7" w:color="auto"/>
          <w:right w:val="single" w:sz="4" w:space="4" w:color="auto"/>
        </w:pBdr>
        <w:rPr>
          <w:sz w:val="22"/>
          <w:szCs w:val="22"/>
        </w:rPr>
      </w:pPr>
      <w:r w:rsidRPr="00EB4577">
        <w:rPr>
          <w:sz w:val="22"/>
          <w:szCs w:val="22"/>
        </w:rPr>
        <w:t xml:space="preserve">Factors that should be controlled when using steam include exposure time and temperature. The process should ensure that all of the product achieves the desired temperature for the full length of time required. A drying step may be necessary to remove added moisture. </w:t>
      </w:r>
    </w:p>
    <w:p w14:paraId="5CD61502" w14:textId="77777777" w:rsidR="00C06318" w:rsidRPr="00FA4B0F" w:rsidRDefault="00C06318" w:rsidP="009F6691">
      <w:pPr>
        <w:pBdr>
          <w:top w:val="single" w:sz="4" w:space="1" w:color="auto"/>
          <w:left w:val="single" w:sz="4" w:space="4" w:color="auto"/>
          <w:bottom w:val="single" w:sz="4" w:space="7" w:color="auto"/>
          <w:right w:val="single" w:sz="4" w:space="4" w:color="auto"/>
        </w:pBdr>
        <w:rPr>
          <w:rFonts w:cs="Arial"/>
          <w:szCs w:val="22"/>
        </w:rPr>
      </w:pPr>
      <w:r w:rsidRPr="00EB4577">
        <w:rPr>
          <w:szCs w:val="22"/>
        </w:rPr>
        <w:t>Factors that should be controlled when using irradiation include radiation dose and the size and shape of the package, as well as the penetrability of the packaging material to the type of radiation used. The process should ensure that all of the product is exposed to the minimum dose of radiation needed to provide the intended effect.</w:t>
      </w:r>
    </w:p>
    <w:p w14:paraId="17BBFCB7" w14:textId="2354C19F" w:rsidR="00C06318" w:rsidRPr="00B908C1" w:rsidRDefault="00C06318" w:rsidP="00C06318">
      <w:pPr>
        <w:spacing w:before="240" w:after="240"/>
        <w:rPr>
          <w:rFonts w:cs="Arial"/>
          <w:b/>
        </w:rPr>
      </w:pPr>
      <w:r w:rsidRPr="00B908C1">
        <w:rPr>
          <w:rFonts w:cs="Arial"/>
          <w:b/>
        </w:rPr>
        <w:t>1</w:t>
      </w:r>
      <w:r w:rsidR="0088641D" w:rsidRPr="00B908C1">
        <w:rPr>
          <w:rFonts w:cs="Arial"/>
          <w:b/>
        </w:rPr>
        <w:t>.2.</w:t>
      </w:r>
      <w:r w:rsidRPr="00B908C1">
        <w:rPr>
          <w:rFonts w:cs="Arial"/>
          <w:b/>
        </w:rPr>
        <w:t>3</w:t>
      </w:r>
      <w:r w:rsidRPr="00B908C1">
        <w:rPr>
          <w:rFonts w:cs="Arial"/>
          <w:b/>
        </w:rPr>
        <w:tab/>
        <w:t>Codex Committee on Spices and Culinary Herbs</w:t>
      </w:r>
    </w:p>
    <w:p w14:paraId="21DABE8B" w14:textId="009D3040" w:rsidR="00C06318" w:rsidRDefault="00C06318" w:rsidP="00C06318">
      <w:pPr>
        <w:rPr>
          <w:rFonts w:cs="Arial"/>
        </w:rPr>
      </w:pPr>
      <w:r>
        <w:rPr>
          <w:rFonts w:cs="Arial"/>
        </w:rPr>
        <w:t xml:space="preserve">The </w:t>
      </w:r>
      <w:r w:rsidR="000B1C2B">
        <w:rPr>
          <w:rFonts w:cs="Arial"/>
        </w:rPr>
        <w:t>CCSCH</w:t>
      </w:r>
      <w:r>
        <w:rPr>
          <w:rFonts w:cs="Arial"/>
        </w:rPr>
        <w:t xml:space="preserve"> </w:t>
      </w:r>
      <w:r w:rsidR="00A539F8">
        <w:rPr>
          <w:rFonts w:cs="Arial"/>
        </w:rPr>
        <w:t>held</w:t>
      </w:r>
      <w:r>
        <w:rPr>
          <w:rFonts w:cs="Arial"/>
        </w:rPr>
        <w:t xml:space="preserve"> its first session in 2014. The terms of reference include elaborating standards for spices and culinary herbs, in their dried and dehydrated state. Fresh herbs and spices are not within the mandate of CCSCH, but come within the remit of the Codex Committee on Fresh Fruit and Vegetables.</w:t>
      </w:r>
    </w:p>
    <w:p w14:paraId="5FCC931A" w14:textId="77777777" w:rsidR="00C06318" w:rsidRDefault="00C06318" w:rsidP="00C06318">
      <w:pPr>
        <w:rPr>
          <w:rFonts w:cs="Arial"/>
        </w:rPr>
      </w:pPr>
    </w:p>
    <w:p w14:paraId="46344245" w14:textId="191ADD43" w:rsidR="00C06318" w:rsidRDefault="00C06318" w:rsidP="00C06318">
      <w:pPr>
        <w:rPr>
          <w:rFonts w:cs="Arial"/>
        </w:rPr>
      </w:pPr>
      <w:r>
        <w:rPr>
          <w:rFonts w:cs="Arial"/>
        </w:rPr>
        <w:t>The CCSCH has a programme of work developing group standards encompassing the named herbs or spices within a group, rather than individual standards. The CCSCH has not developed new definitions for spices and culinary herbs. CCSCH papers refer to the definitions that apply elsewhere in Codex</w:t>
      </w:r>
      <w:r w:rsidR="000B1C2B">
        <w:rPr>
          <w:rFonts w:cs="Arial"/>
        </w:rPr>
        <w:t xml:space="preserve"> (i.e. in CCPR</w:t>
      </w:r>
      <w:r w:rsidRPr="007E6E67">
        <w:rPr>
          <w:rFonts w:cs="Arial"/>
        </w:rPr>
        <w:t xml:space="preserve"> </w:t>
      </w:r>
      <w:r w:rsidR="000B1C2B">
        <w:rPr>
          <w:rFonts w:cs="Arial"/>
        </w:rPr>
        <w:t>and CCFH texts).</w:t>
      </w:r>
    </w:p>
    <w:p w14:paraId="5DDF2FED" w14:textId="77777777" w:rsidR="00C06318" w:rsidRPr="00B908C1" w:rsidRDefault="00C06318" w:rsidP="00C06318">
      <w:pPr>
        <w:spacing w:before="240" w:after="240"/>
        <w:rPr>
          <w:rFonts w:cs="Arial"/>
          <w:b/>
        </w:rPr>
      </w:pPr>
      <w:r w:rsidRPr="00B908C1">
        <w:rPr>
          <w:rFonts w:cs="Arial"/>
          <w:b/>
        </w:rPr>
        <w:t>1.2.4</w:t>
      </w:r>
      <w:r w:rsidRPr="00B908C1">
        <w:rPr>
          <w:rFonts w:cs="Arial"/>
          <w:b/>
        </w:rPr>
        <w:tab/>
        <w:t xml:space="preserve">Summary </w:t>
      </w:r>
    </w:p>
    <w:p w14:paraId="563E6F4A" w14:textId="1C564760" w:rsidR="00C06318" w:rsidRDefault="00C06318" w:rsidP="00C06318">
      <w:pPr>
        <w:rPr>
          <w:rFonts w:cs="Arial"/>
        </w:rPr>
      </w:pPr>
      <w:r w:rsidRPr="0052594F">
        <w:rPr>
          <w:rFonts w:cs="Arial"/>
        </w:rPr>
        <w:t xml:space="preserve">There is no single Codex definition </w:t>
      </w:r>
      <w:r>
        <w:rPr>
          <w:rFonts w:cs="Arial"/>
        </w:rPr>
        <w:t xml:space="preserve">for herbs and spices </w:t>
      </w:r>
      <w:r w:rsidRPr="0052594F">
        <w:rPr>
          <w:rFonts w:cs="Arial"/>
        </w:rPr>
        <w:t xml:space="preserve">that </w:t>
      </w:r>
      <w:r>
        <w:rPr>
          <w:rFonts w:cs="Arial"/>
        </w:rPr>
        <w:t>is used across all Codex texts</w:t>
      </w:r>
      <w:r w:rsidR="00603FA8">
        <w:rPr>
          <w:rFonts w:cs="Arial"/>
        </w:rPr>
        <w:t>, as the purpose of each Codex committee differs</w:t>
      </w:r>
      <w:r>
        <w:rPr>
          <w:rFonts w:cs="Arial"/>
        </w:rPr>
        <w:t>.</w:t>
      </w:r>
    </w:p>
    <w:p w14:paraId="34403BB5" w14:textId="77777777" w:rsidR="00C06318" w:rsidRDefault="00C06318" w:rsidP="00C06318">
      <w:pPr>
        <w:rPr>
          <w:rFonts w:cs="Arial"/>
        </w:rPr>
      </w:pPr>
    </w:p>
    <w:p w14:paraId="160E8BD0" w14:textId="4C9A56B1" w:rsidR="00C06318" w:rsidRDefault="00C06318" w:rsidP="00C06318">
      <w:pPr>
        <w:rPr>
          <w:rFonts w:cs="Arial"/>
        </w:rPr>
      </w:pPr>
      <w:r w:rsidRPr="0052594F">
        <w:rPr>
          <w:rFonts w:cs="Arial"/>
        </w:rPr>
        <w:t>The definitions applying in CCPR texts are not confined to the dried forms, and separate definitions apply for herbs and s</w:t>
      </w:r>
      <w:r w:rsidRPr="004B2C85">
        <w:rPr>
          <w:rFonts w:cs="Arial"/>
        </w:rPr>
        <w:t xml:space="preserve">pices. </w:t>
      </w:r>
      <w:r w:rsidRPr="0052594F">
        <w:rPr>
          <w:rFonts w:cs="Arial"/>
        </w:rPr>
        <w:t xml:space="preserve">The definition applying in the </w:t>
      </w:r>
      <w:r w:rsidRPr="0052594F">
        <w:rPr>
          <w:rFonts w:cs="Arial"/>
          <w:i/>
        </w:rPr>
        <w:t xml:space="preserve">Code of Hygienic Practice for Low-moisture Foods </w:t>
      </w:r>
      <w:r w:rsidRPr="0052594F">
        <w:rPr>
          <w:rFonts w:cs="Arial"/>
        </w:rPr>
        <w:t>only applies to herbs and spices in their dried form, and combines the de</w:t>
      </w:r>
      <w:r>
        <w:rPr>
          <w:rFonts w:cs="Arial"/>
        </w:rPr>
        <w:t>finition for herbs and spices.</w:t>
      </w:r>
    </w:p>
    <w:p w14:paraId="2E1D898E" w14:textId="0F0BB346" w:rsidR="00573D44" w:rsidRPr="00472DA0" w:rsidRDefault="00573D44" w:rsidP="00B908C1">
      <w:pPr>
        <w:pStyle w:val="Heading1"/>
        <w:spacing w:before="120"/>
      </w:pPr>
      <w:bookmarkStart w:id="9" w:name="_Toc7682314"/>
      <w:r>
        <w:t>2</w:t>
      </w:r>
      <w:r w:rsidRPr="00472DA0">
        <w:tab/>
      </w:r>
      <w:r>
        <w:t>References</w:t>
      </w:r>
      <w:bookmarkEnd w:id="9"/>
    </w:p>
    <w:p w14:paraId="6E27E15C" w14:textId="77777777" w:rsidR="006E7802" w:rsidRDefault="006E7802" w:rsidP="006E7802">
      <w:pPr>
        <w:pStyle w:val="FootnoteText"/>
        <w:spacing w:before="120" w:after="120"/>
        <w:rPr>
          <w:rStyle w:val="Hyperlink"/>
          <w:color w:val="auto"/>
          <w:sz w:val="22"/>
          <w:szCs w:val="22"/>
          <w:u w:val="none"/>
        </w:rPr>
      </w:pPr>
      <w:r>
        <w:rPr>
          <w:rStyle w:val="Hyperlink"/>
          <w:color w:val="auto"/>
          <w:sz w:val="22"/>
          <w:szCs w:val="22"/>
          <w:u w:val="none"/>
        </w:rPr>
        <w:t>CFDR 2019</w:t>
      </w:r>
      <w:r w:rsidRPr="00347726">
        <w:rPr>
          <w:rStyle w:val="Hyperlink"/>
          <w:color w:val="auto"/>
          <w:sz w:val="22"/>
          <w:szCs w:val="22"/>
          <w:u w:val="none"/>
        </w:rPr>
        <w:t xml:space="preserve"> </w:t>
      </w:r>
      <w:hyperlink r:id="rId19" w:history="1">
        <w:r w:rsidRPr="00347726">
          <w:rPr>
            <w:rStyle w:val="Hyperlink"/>
            <w:sz w:val="22"/>
            <w:szCs w:val="22"/>
          </w:rPr>
          <w:t>Government of Canada Food and Drug Regulations C.R.C.,c 870</w:t>
        </w:r>
      </w:hyperlink>
      <w:r w:rsidRPr="00347726">
        <w:rPr>
          <w:rStyle w:val="Hyperlink"/>
          <w:sz w:val="22"/>
          <w:szCs w:val="22"/>
        </w:rPr>
        <w:t xml:space="preserve"> </w:t>
      </w:r>
      <w:r w:rsidRPr="00347726">
        <w:rPr>
          <w:rStyle w:val="Hyperlink"/>
          <w:color w:val="auto"/>
          <w:sz w:val="22"/>
          <w:szCs w:val="22"/>
          <w:u w:val="none"/>
        </w:rPr>
        <w:t>Division 26 Food Irradiation. Accessed 9 April 2019.</w:t>
      </w:r>
    </w:p>
    <w:p w14:paraId="70386CFF" w14:textId="2AD7AD7A" w:rsidR="00573D44" w:rsidRPr="00077FE6" w:rsidRDefault="00573D44" w:rsidP="00077FE6">
      <w:pPr>
        <w:pStyle w:val="FootnoteText"/>
        <w:spacing w:before="120" w:after="120"/>
        <w:rPr>
          <w:rStyle w:val="Hyperlink"/>
          <w:color w:val="auto"/>
          <w:sz w:val="22"/>
          <w:szCs w:val="22"/>
          <w:u w:val="none"/>
        </w:rPr>
      </w:pPr>
      <w:r w:rsidRPr="00077FE6">
        <w:rPr>
          <w:rStyle w:val="Hyperlink"/>
          <w:color w:val="auto"/>
          <w:sz w:val="22"/>
          <w:szCs w:val="22"/>
          <w:u w:val="none"/>
        </w:rPr>
        <w:t xml:space="preserve">CCFH (1983) Codex Standard for Irradiated Food. </w:t>
      </w:r>
      <w:hyperlink r:id="rId20" w:history="1">
        <w:r w:rsidR="00077FE6">
          <w:rPr>
            <w:rStyle w:val="Hyperlink"/>
            <w:sz w:val="22"/>
            <w:szCs w:val="22"/>
          </w:rPr>
          <w:t>Codex STAN 106-1983</w:t>
        </w:r>
      </w:hyperlink>
      <w:r w:rsidR="00077FE6">
        <w:rPr>
          <w:rStyle w:val="Hyperlink"/>
          <w:color w:val="auto"/>
          <w:sz w:val="22"/>
          <w:szCs w:val="22"/>
          <w:u w:val="none"/>
        </w:rPr>
        <w:t>.</w:t>
      </w:r>
      <w:r w:rsidRPr="00077FE6">
        <w:rPr>
          <w:rStyle w:val="Hyperlink"/>
          <w:color w:val="auto"/>
          <w:sz w:val="22"/>
          <w:szCs w:val="22"/>
          <w:u w:val="none"/>
        </w:rPr>
        <w:t xml:space="preserve"> </w:t>
      </w:r>
      <w:r w:rsidR="008D1D14" w:rsidRPr="00077FE6">
        <w:rPr>
          <w:rStyle w:val="Hyperlink"/>
          <w:color w:val="auto"/>
          <w:sz w:val="22"/>
          <w:szCs w:val="22"/>
          <w:u w:val="none"/>
        </w:rPr>
        <w:t xml:space="preserve">Codex Alimentarius Commission, Rome. </w:t>
      </w:r>
      <w:r w:rsidRPr="00077FE6">
        <w:rPr>
          <w:rStyle w:val="Hyperlink"/>
          <w:color w:val="auto"/>
          <w:sz w:val="22"/>
          <w:szCs w:val="22"/>
          <w:u w:val="none"/>
        </w:rPr>
        <w:t>Accessed 9 April 2019.</w:t>
      </w:r>
    </w:p>
    <w:p w14:paraId="5CDE806B" w14:textId="359E21BC" w:rsidR="002A315C" w:rsidRDefault="002A315C" w:rsidP="00077FE6">
      <w:pPr>
        <w:pStyle w:val="FootnoteText"/>
        <w:spacing w:before="120" w:after="120"/>
        <w:rPr>
          <w:rStyle w:val="Hyperlink"/>
          <w:color w:val="auto"/>
          <w:sz w:val="22"/>
          <w:szCs w:val="22"/>
          <w:u w:val="none"/>
        </w:rPr>
      </w:pPr>
      <w:r w:rsidRPr="00077FE6">
        <w:rPr>
          <w:rStyle w:val="Hyperlink"/>
          <w:color w:val="auto"/>
          <w:sz w:val="22"/>
          <w:szCs w:val="22"/>
          <w:u w:val="none"/>
        </w:rPr>
        <w:t xml:space="preserve">CCFH (2015) Code of Hygienic Practice for Low-Moisture Foods </w:t>
      </w:r>
      <w:hyperlink r:id="rId21" w:history="1">
        <w:r w:rsidRPr="00077FE6">
          <w:rPr>
            <w:rStyle w:val="Hyperlink"/>
            <w:sz w:val="22"/>
            <w:szCs w:val="22"/>
          </w:rPr>
          <w:t>CAC/RCP 75-2015</w:t>
        </w:r>
      </w:hyperlink>
      <w:r w:rsidR="00077FE6">
        <w:rPr>
          <w:sz w:val="22"/>
          <w:szCs w:val="22"/>
        </w:rPr>
        <w:t>.</w:t>
      </w:r>
      <w:r w:rsidRPr="00077FE6">
        <w:rPr>
          <w:sz w:val="22"/>
          <w:szCs w:val="22"/>
        </w:rPr>
        <w:t xml:space="preserve"> </w:t>
      </w:r>
      <w:r w:rsidR="008D1D14" w:rsidRPr="00077FE6">
        <w:rPr>
          <w:rStyle w:val="Hyperlink"/>
          <w:color w:val="auto"/>
          <w:sz w:val="22"/>
          <w:szCs w:val="22"/>
          <w:u w:val="none"/>
        </w:rPr>
        <w:t xml:space="preserve">Codex Alimentarius Commission, Rome. </w:t>
      </w:r>
      <w:r w:rsidRPr="00077FE6">
        <w:rPr>
          <w:rStyle w:val="Hyperlink"/>
          <w:color w:val="auto"/>
          <w:sz w:val="22"/>
          <w:szCs w:val="22"/>
          <w:u w:val="none"/>
        </w:rPr>
        <w:t>Accessed 9 April 2019.</w:t>
      </w:r>
    </w:p>
    <w:p w14:paraId="790F431C" w14:textId="77777777" w:rsidR="000B1C2B" w:rsidRPr="00077FE6" w:rsidRDefault="000B1C2B" w:rsidP="000B1C2B">
      <w:pPr>
        <w:pStyle w:val="FootnoteText"/>
        <w:spacing w:before="120" w:after="120"/>
        <w:rPr>
          <w:sz w:val="22"/>
          <w:szCs w:val="22"/>
        </w:rPr>
      </w:pPr>
      <w:r w:rsidRPr="00077FE6">
        <w:rPr>
          <w:sz w:val="22"/>
          <w:szCs w:val="22"/>
        </w:rPr>
        <w:lastRenderedPageBreak/>
        <w:t xml:space="preserve">CCPR (1989) Classification of Foods and Animal Feeds </w:t>
      </w:r>
      <w:hyperlink r:id="rId22" w:history="1">
        <w:r w:rsidRPr="00077FE6">
          <w:rPr>
            <w:rStyle w:val="Hyperlink"/>
            <w:sz w:val="22"/>
            <w:szCs w:val="22"/>
          </w:rPr>
          <w:t>CAC/MISC 4-1989</w:t>
        </w:r>
      </w:hyperlink>
      <w:r w:rsidRPr="00077FE6">
        <w:rPr>
          <w:rStyle w:val="Hyperlink"/>
          <w:sz w:val="22"/>
          <w:szCs w:val="22"/>
        </w:rPr>
        <w:t xml:space="preserve">. </w:t>
      </w:r>
      <w:r w:rsidRPr="00077FE6">
        <w:rPr>
          <w:rStyle w:val="Hyperlink"/>
          <w:color w:val="auto"/>
          <w:sz w:val="22"/>
          <w:szCs w:val="22"/>
          <w:u w:val="none"/>
        </w:rPr>
        <w:t>Codex Alimentarius Commission, Rome. Accessed 9 April 2019.</w:t>
      </w:r>
    </w:p>
    <w:p w14:paraId="598E8E51" w14:textId="77777777" w:rsidR="000B1C2B" w:rsidRPr="00077FE6" w:rsidRDefault="000B1C2B" w:rsidP="000B1C2B">
      <w:pPr>
        <w:pStyle w:val="FootnoteText"/>
        <w:spacing w:before="120" w:after="120"/>
        <w:rPr>
          <w:sz w:val="22"/>
          <w:szCs w:val="22"/>
        </w:rPr>
      </w:pPr>
      <w:r w:rsidRPr="00077FE6">
        <w:rPr>
          <w:sz w:val="22"/>
          <w:szCs w:val="22"/>
        </w:rPr>
        <w:t xml:space="preserve">CCPR (1993) Portion of Commodities to which Maximum Residues Limits Apply and which is Analyzed. </w:t>
      </w:r>
      <w:hyperlink r:id="rId23" w:history="1">
        <w:r w:rsidRPr="00077FE6">
          <w:rPr>
            <w:rStyle w:val="Hyperlink"/>
            <w:sz w:val="22"/>
            <w:szCs w:val="22"/>
          </w:rPr>
          <w:t>CAC/GL 41-1993</w:t>
        </w:r>
      </w:hyperlink>
      <w:r>
        <w:rPr>
          <w:rStyle w:val="Hyperlink"/>
          <w:sz w:val="22"/>
          <w:szCs w:val="22"/>
        </w:rPr>
        <w:t>.</w:t>
      </w:r>
      <w:r w:rsidRPr="00077FE6">
        <w:rPr>
          <w:rStyle w:val="Hyperlink"/>
          <w:color w:val="auto"/>
          <w:sz w:val="22"/>
          <w:szCs w:val="22"/>
          <w:u w:val="none"/>
        </w:rPr>
        <w:t>Codex Alimentarius Commission, Rome. Accessed 9 April 2019.</w:t>
      </w:r>
    </w:p>
    <w:p w14:paraId="4CF6B116" w14:textId="77777777" w:rsidR="000B1C2B" w:rsidRPr="00077FE6" w:rsidRDefault="000B1C2B" w:rsidP="000B1C2B">
      <w:pPr>
        <w:pStyle w:val="FootnoteText"/>
        <w:spacing w:before="120" w:after="120"/>
        <w:rPr>
          <w:sz w:val="22"/>
          <w:szCs w:val="22"/>
        </w:rPr>
      </w:pPr>
      <w:r w:rsidRPr="00077FE6">
        <w:rPr>
          <w:sz w:val="22"/>
          <w:szCs w:val="22"/>
        </w:rPr>
        <w:t xml:space="preserve">CCPR (2018) Pesticide Residues in Food </w:t>
      </w:r>
      <w:hyperlink r:id="rId24" w:history="1">
        <w:r w:rsidRPr="00077FE6">
          <w:rPr>
            <w:rStyle w:val="Hyperlink"/>
            <w:sz w:val="22"/>
            <w:szCs w:val="22"/>
          </w:rPr>
          <w:t>online pesticide database, commodities</w:t>
        </w:r>
      </w:hyperlink>
      <w:r>
        <w:rPr>
          <w:rStyle w:val="Hyperlink"/>
          <w:sz w:val="22"/>
          <w:szCs w:val="22"/>
        </w:rPr>
        <w:t xml:space="preserve">. </w:t>
      </w:r>
      <w:r w:rsidRPr="00077FE6">
        <w:rPr>
          <w:rStyle w:val="Hyperlink"/>
          <w:color w:val="auto"/>
          <w:sz w:val="22"/>
          <w:szCs w:val="22"/>
          <w:u w:val="none"/>
        </w:rPr>
        <w:t>Codex Alimentarius Commission, Rome. Accessed 9 April 2019.</w:t>
      </w:r>
    </w:p>
    <w:p w14:paraId="3FBA602F" w14:textId="77777777" w:rsidR="00573D44" w:rsidRPr="00077FE6" w:rsidRDefault="00573D44" w:rsidP="00077FE6">
      <w:pPr>
        <w:pStyle w:val="FootnoteText"/>
        <w:spacing w:before="120" w:after="120"/>
        <w:rPr>
          <w:rFonts w:cs="Arial"/>
          <w:color w:val="444444"/>
          <w:sz w:val="22"/>
          <w:szCs w:val="22"/>
          <w:lang w:val="en"/>
        </w:rPr>
      </w:pPr>
      <w:r w:rsidRPr="00077FE6">
        <w:rPr>
          <w:rFonts w:cs="Arial"/>
          <w:color w:val="444444"/>
          <w:sz w:val="22"/>
          <w:szCs w:val="22"/>
          <w:lang w:val="en"/>
        </w:rPr>
        <w:t xml:space="preserve">EC (1999) </w:t>
      </w:r>
      <w:hyperlink r:id="rId25" w:history="1">
        <w:r w:rsidRPr="00077FE6">
          <w:rPr>
            <w:rStyle w:val="Hyperlink"/>
            <w:rFonts w:cs="Arial"/>
            <w:sz w:val="22"/>
            <w:szCs w:val="22"/>
            <w:lang w:val="en"/>
          </w:rPr>
          <w:t>Commission Implementing Directive (EC) 1999/3/EC</w:t>
        </w:r>
      </w:hyperlink>
      <w:r w:rsidRPr="00077FE6">
        <w:rPr>
          <w:rFonts w:cs="Arial"/>
          <w:color w:val="444444"/>
          <w:sz w:val="22"/>
          <w:szCs w:val="22"/>
          <w:lang w:val="en"/>
        </w:rPr>
        <w:t xml:space="preserve"> of 22 February 1999 on the establishment of a Community list of foods and food ingredients treated with ionising radiation. Accessed 9 April 2019.</w:t>
      </w:r>
    </w:p>
    <w:p w14:paraId="3CD6A4A7" w14:textId="77777777" w:rsidR="006E7802" w:rsidRPr="00347726" w:rsidRDefault="006E7802" w:rsidP="006E7802">
      <w:pPr>
        <w:spacing w:before="120" w:after="120"/>
        <w:rPr>
          <w:szCs w:val="22"/>
        </w:rPr>
      </w:pPr>
      <w:r>
        <w:rPr>
          <w:rStyle w:val="Hyperlink"/>
          <w:color w:val="auto"/>
          <w:szCs w:val="22"/>
          <w:u w:val="none"/>
        </w:rPr>
        <w:t xml:space="preserve">USFDA 2018 </w:t>
      </w:r>
      <w:hyperlink r:id="rId26" w:history="1">
        <w:r w:rsidRPr="00347726">
          <w:rPr>
            <w:rStyle w:val="Hyperlink"/>
            <w:szCs w:val="22"/>
          </w:rPr>
          <w:t>United States Code of Federal Regulations Title 21</w:t>
        </w:r>
      </w:hyperlink>
      <w:r w:rsidRPr="00347726">
        <w:rPr>
          <w:rStyle w:val="Hyperlink"/>
          <w:szCs w:val="22"/>
        </w:rPr>
        <w:t xml:space="preserve"> </w:t>
      </w:r>
      <w:r w:rsidRPr="00347726">
        <w:rPr>
          <w:rStyle w:val="Hyperlink"/>
          <w:color w:val="auto"/>
          <w:szCs w:val="22"/>
          <w:u w:val="none"/>
        </w:rPr>
        <w:t>Part 179 Irradiation in the Production, Processing and Handling of Food. Accessed 9 April 2019.</w:t>
      </w:r>
    </w:p>
    <w:sectPr w:rsidR="006E7802" w:rsidRPr="00347726"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0C208" w14:textId="77777777" w:rsidR="00BC5C5F" w:rsidRDefault="00BC5C5F">
      <w:r>
        <w:separator/>
      </w:r>
    </w:p>
  </w:endnote>
  <w:endnote w:type="continuationSeparator" w:id="0">
    <w:p w14:paraId="255850AA" w14:textId="77777777" w:rsidR="00BC5C5F" w:rsidRDefault="00B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FF16" w14:textId="49330F51" w:rsidR="0006473A" w:rsidRDefault="0006473A" w:rsidP="00821DF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F6EC4C8" w14:textId="77777777" w:rsidR="0006473A" w:rsidRDefault="0006473A" w:rsidP="00613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89AB" w14:textId="17CDC170"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5C5C">
      <w:rPr>
        <w:rStyle w:val="PageNumber"/>
        <w:noProof/>
      </w:rPr>
      <w:t>i</w:t>
    </w:r>
    <w:r>
      <w:rPr>
        <w:rStyle w:val="PageNumber"/>
      </w:rPr>
      <w:fldChar w:fldCharType="end"/>
    </w:r>
  </w:p>
  <w:p w14:paraId="329C3140" w14:textId="77777777" w:rsidR="0006473A" w:rsidRDefault="0006473A" w:rsidP="00613EF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3239B" w14:textId="77777777" w:rsidR="00BC5C5F" w:rsidRDefault="00BC5C5F">
      <w:r>
        <w:separator/>
      </w:r>
    </w:p>
  </w:footnote>
  <w:footnote w:type="continuationSeparator" w:id="0">
    <w:p w14:paraId="096AF810" w14:textId="77777777" w:rsidR="00BC5C5F" w:rsidRDefault="00BC5C5F">
      <w:r>
        <w:continuationSeparator/>
      </w:r>
    </w:p>
  </w:footnote>
  <w:footnote w:id="1">
    <w:p w14:paraId="6015D0B4" w14:textId="77777777" w:rsidR="00C06318" w:rsidRDefault="00C06318" w:rsidP="00C06318">
      <w:pPr>
        <w:pStyle w:val="FootnoteText"/>
      </w:pPr>
      <w:r>
        <w:rPr>
          <w:rStyle w:val="FootnoteReference"/>
        </w:rPr>
        <w:footnoteRef/>
      </w:r>
      <w:r>
        <w:t xml:space="preserve"> </w:t>
      </w:r>
      <w:hyperlink r:id="rId1" w:history="1">
        <w:r w:rsidRPr="001D460A">
          <w:rPr>
            <w:rStyle w:val="Hyperlink"/>
          </w:rPr>
          <w:t>https://www.fda.gov/ICECI/ComplianceManuals/CompliancePolicyGuidanceManual/ucm074468.htm</w:t>
        </w:r>
      </w:hyperlink>
    </w:p>
    <w:p w14:paraId="3FF47D9B" w14:textId="77777777" w:rsidR="00C06318" w:rsidRPr="006E09AD" w:rsidRDefault="00C06318" w:rsidP="00C06318">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BB01" w14:textId="36DACBF5"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03F7"/>
    <w:multiLevelType w:val="hybridMultilevel"/>
    <w:tmpl w:val="8E3C067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C754093"/>
    <w:multiLevelType w:val="hybridMultilevel"/>
    <w:tmpl w:val="1F10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6D"/>
    <w:rsid w:val="00001CF2"/>
    <w:rsid w:val="0000247B"/>
    <w:rsid w:val="0000469B"/>
    <w:rsid w:val="00035FF3"/>
    <w:rsid w:val="00051021"/>
    <w:rsid w:val="00051326"/>
    <w:rsid w:val="00051ED9"/>
    <w:rsid w:val="00057181"/>
    <w:rsid w:val="00060A99"/>
    <w:rsid w:val="0006473A"/>
    <w:rsid w:val="00064B2D"/>
    <w:rsid w:val="00065F1F"/>
    <w:rsid w:val="00076D33"/>
    <w:rsid w:val="00077FE6"/>
    <w:rsid w:val="00092A6D"/>
    <w:rsid w:val="00092CDA"/>
    <w:rsid w:val="000A27E9"/>
    <w:rsid w:val="000A3D8B"/>
    <w:rsid w:val="000A5DF8"/>
    <w:rsid w:val="000B1C2B"/>
    <w:rsid w:val="000B6AF2"/>
    <w:rsid w:val="000D2069"/>
    <w:rsid w:val="000D6FD4"/>
    <w:rsid w:val="000E0AE4"/>
    <w:rsid w:val="000E3DBC"/>
    <w:rsid w:val="00107857"/>
    <w:rsid w:val="00113CE3"/>
    <w:rsid w:val="00117522"/>
    <w:rsid w:val="00150404"/>
    <w:rsid w:val="001542D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618EF"/>
    <w:rsid w:val="00271F00"/>
    <w:rsid w:val="00273A80"/>
    <w:rsid w:val="0029204E"/>
    <w:rsid w:val="0029631C"/>
    <w:rsid w:val="002A0194"/>
    <w:rsid w:val="002A315C"/>
    <w:rsid w:val="002A3314"/>
    <w:rsid w:val="002A5F8B"/>
    <w:rsid w:val="002A7F6C"/>
    <w:rsid w:val="002D6809"/>
    <w:rsid w:val="002E21AC"/>
    <w:rsid w:val="002F6488"/>
    <w:rsid w:val="00320839"/>
    <w:rsid w:val="003213F9"/>
    <w:rsid w:val="00323DBF"/>
    <w:rsid w:val="00326D85"/>
    <w:rsid w:val="003309A8"/>
    <w:rsid w:val="00332B12"/>
    <w:rsid w:val="0033609B"/>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3298"/>
    <w:rsid w:val="004047E5"/>
    <w:rsid w:val="00405B1A"/>
    <w:rsid w:val="00410C76"/>
    <w:rsid w:val="00411907"/>
    <w:rsid w:val="00413CA8"/>
    <w:rsid w:val="00417EE3"/>
    <w:rsid w:val="004207EB"/>
    <w:rsid w:val="004360AD"/>
    <w:rsid w:val="00437276"/>
    <w:rsid w:val="00456B54"/>
    <w:rsid w:val="00464643"/>
    <w:rsid w:val="00472DA0"/>
    <w:rsid w:val="00486793"/>
    <w:rsid w:val="004A2037"/>
    <w:rsid w:val="004C2063"/>
    <w:rsid w:val="004C2CE7"/>
    <w:rsid w:val="004E757C"/>
    <w:rsid w:val="004F4F98"/>
    <w:rsid w:val="004F69F6"/>
    <w:rsid w:val="004F79AC"/>
    <w:rsid w:val="005017CF"/>
    <w:rsid w:val="005207D8"/>
    <w:rsid w:val="0053464E"/>
    <w:rsid w:val="0054272D"/>
    <w:rsid w:val="005471FC"/>
    <w:rsid w:val="00562917"/>
    <w:rsid w:val="00573D44"/>
    <w:rsid w:val="0057615C"/>
    <w:rsid w:val="00586228"/>
    <w:rsid w:val="005A162D"/>
    <w:rsid w:val="005A1D97"/>
    <w:rsid w:val="005A58F3"/>
    <w:rsid w:val="005B6AF4"/>
    <w:rsid w:val="005B7A73"/>
    <w:rsid w:val="005C04CB"/>
    <w:rsid w:val="005D16AD"/>
    <w:rsid w:val="005D72E1"/>
    <w:rsid w:val="005E6E16"/>
    <w:rsid w:val="005F400E"/>
    <w:rsid w:val="005F7342"/>
    <w:rsid w:val="00602A2C"/>
    <w:rsid w:val="00603A08"/>
    <w:rsid w:val="00603FA8"/>
    <w:rsid w:val="00610A3C"/>
    <w:rsid w:val="006115CC"/>
    <w:rsid w:val="00613EF4"/>
    <w:rsid w:val="00627F48"/>
    <w:rsid w:val="00630C23"/>
    <w:rsid w:val="006460AB"/>
    <w:rsid w:val="00663FCF"/>
    <w:rsid w:val="006652A2"/>
    <w:rsid w:val="006700E2"/>
    <w:rsid w:val="00690206"/>
    <w:rsid w:val="006937FF"/>
    <w:rsid w:val="006A48A7"/>
    <w:rsid w:val="006B4BA1"/>
    <w:rsid w:val="006B5EBE"/>
    <w:rsid w:val="006C5CF5"/>
    <w:rsid w:val="006E7802"/>
    <w:rsid w:val="006F4A82"/>
    <w:rsid w:val="0070373B"/>
    <w:rsid w:val="00724FA4"/>
    <w:rsid w:val="00730800"/>
    <w:rsid w:val="007602AA"/>
    <w:rsid w:val="007637BF"/>
    <w:rsid w:val="007652EF"/>
    <w:rsid w:val="00772BDC"/>
    <w:rsid w:val="00780792"/>
    <w:rsid w:val="0078747B"/>
    <w:rsid w:val="00796562"/>
    <w:rsid w:val="007A44B4"/>
    <w:rsid w:val="007A7D3D"/>
    <w:rsid w:val="007B225D"/>
    <w:rsid w:val="007C174F"/>
    <w:rsid w:val="007C1C64"/>
    <w:rsid w:val="007D03EA"/>
    <w:rsid w:val="007E48BC"/>
    <w:rsid w:val="007E79F7"/>
    <w:rsid w:val="007F3630"/>
    <w:rsid w:val="00807559"/>
    <w:rsid w:val="00821DFF"/>
    <w:rsid w:val="008450BC"/>
    <w:rsid w:val="0085334B"/>
    <w:rsid w:val="00855C5C"/>
    <w:rsid w:val="00870214"/>
    <w:rsid w:val="00885C51"/>
    <w:rsid w:val="00885EB0"/>
    <w:rsid w:val="0088641D"/>
    <w:rsid w:val="00891F4B"/>
    <w:rsid w:val="0089264A"/>
    <w:rsid w:val="00896B85"/>
    <w:rsid w:val="00896FA3"/>
    <w:rsid w:val="008A22BE"/>
    <w:rsid w:val="008C1B36"/>
    <w:rsid w:val="008D06C6"/>
    <w:rsid w:val="008D0B73"/>
    <w:rsid w:val="008D1D14"/>
    <w:rsid w:val="008E6250"/>
    <w:rsid w:val="00902AF6"/>
    <w:rsid w:val="00913D7F"/>
    <w:rsid w:val="00920249"/>
    <w:rsid w:val="00924C80"/>
    <w:rsid w:val="00932F14"/>
    <w:rsid w:val="0094247F"/>
    <w:rsid w:val="00942D60"/>
    <w:rsid w:val="0096523B"/>
    <w:rsid w:val="00966EE3"/>
    <w:rsid w:val="00972D06"/>
    <w:rsid w:val="009828DE"/>
    <w:rsid w:val="00996143"/>
    <w:rsid w:val="009A391C"/>
    <w:rsid w:val="009A50F2"/>
    <w:rsid w:val="009E0A61"/>
    <w:rsid w:val="009E3010"/>
    <w:rsid w:val="009F007E"/>
    <w:rsid w:val="009F6691"/>
    <w:rsid w:val="009F7065"/>
    <w:rsid w:val="00A4175D"/>
    <w:rsid w:val="00A539F8"/>
    <w:rsid w:val="00A56DC7"/>
    <w:rsid w:val="00A616C0"/>
    <w:rsid w:val="00A74FD1"/>
    <w:rsid w:val="00A77BFA"/>
    <w:rsid w:val="00A84A58"/>
    <w:rsid w:val="00AF06FC"/>
    <w:rsid w:val="00AF3391"/>
    <w:rsid w:val="00AF387F"/>
    <w:rsid w:val="00B00E7F"/>
    <w:rsid w:val="00B12F1E"/>
    <w:rsid w:val="00B173DA"/>
    <w:rsid w:val="00B21DCC"/>
    <w:rsid w:val="00B25F37"/>
    <w:rsid w:val="00B35939"/>
    <w:rsid w:val="00B37BF0"/>
    <w:rsid w:val="00B44422"/>
    <w:rsid w:val="00B46EA0"/>
    <w:rsid w:val="00B731D3"/>
    <w:rsid w:val="00B775C8"/>
    <w:rsid w:val="00B839A3"/>
    <w:rsid w:val="00B902BD"/>
    <w:rsid w:val="00B908C1"/>
    <w:rsid w:val="00B93392"/>
    <w:rsid w:val="00BA24E2"/>
    <w:rsid w:val="00BA4758"/>
    <w:rsid w:val="00BC5C5F"/>
    <w:rsid w:val="00BD2A39"/>
    <w:rsid w:val="00BD2E80"/>
    <w:rsid w:val="00BE11B8"/>
    <w:rsid w:val="00BE2F81"/>
    <w:rsid w:val="00BF1718"/>
    <w:rsid w:val="00BF7FF0"/>
    <w:rsid w:val="00C057F4"/>
    <w:rsid w:val="00C06318"/>
    <w:rsid w:val="00C12502"/>
    <w:rsid w:val="00C128FA"/>
    <w:rsid w:val="00C36578"/>
    <w:rsid w:val="00C40AA5"/>
    <w:rsid w:val="00C46F70"/>
    <w:rsid w:val="00C476D0"/>
    <w:rsid w:val="00C61AC1"/>
    <w:rsid w:val="00C836E3"/>
    <w:rsid w:val="00C86577"/>
    <w:rsid w:val="00C92E07"/>
    <w:rsid w:val="00C9674F"/>
    <w:rsid w:val="00C96868"/>
    <w:rsid w:val="00CA0416"/>
    <w:rsid w:val="00CA641D"/>
    <w:rsid w:val="00CC560B"/>
    <w:rsid w:val="00CC75E2"/>
    <w:rsid w:val="00CD46EB"/>
    <w:rsid w:val="00CD7EBF"/>
    <w:rsid w:val="00D056F1"/>
    <w:rsid w:val="00D11171"/>
    <w:rsid w:val="00D22F3C"/>
    <w:rsid w:val="00D23DB6"/>
    <w:rsid w:val="00D354A5"/>
    <w:rsid w:val="00D43FE6"/>
    <w:rsid w:val="00D51A95"/>
    <w:rsid w:val="00D60568"/>
    <w:rsid w:val="00D70C7A"/>
    <w:rsid w:val="00D81D38"/>
    <w:rsid w:val="00D9620E"/>
    <w:rsid w:val="00DA10A8"/>
    <w:rsid w:val="00DB1E08"/>
    <w:rsid w:val="00DB2973"/>
    <w:rsid w:val="00DC1B56"/>
    <w:rsid w:val="00DC2129"/>
    <w:rsid w:val="00DC6570"/>
    <w:rsid w:val="00DD3C5E"/>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B1A95"/>
    <w:rsid w:val="00EB4577"/>
    <w:rsid w:val="00EB5FEC"/>
    <w:rsid w:val="00EC00DE"/>
    <w:rsid w:val="00EC27B1"/>
    <w:rsid w:val="00EC30E1"/>
    <w:rsid w:val="00ED172A"/>
    <w:rsid w:val="00F11F6C"/>
    <w:rsid w:val="00F14BEC"/>
    <w:rsid w:val="00F225C5"/>
    <w:rsid w:val="00F2587A"/>
    <w:rsid w:val="00F3715D"/>
    <w:rsid w:val="00F420C8"/>
    <w:rsid w:val="00F42A4C"/>
    <w:rsid w:val="00F604DE"/>
    <w:rsid w:val="00F77010"/>
    <w:rsid w:val="00FA01B2"/>
    <w:rsid w:val="00FA4B0F"/>
    <w:rsid w:val="00FA74B2"/>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973F5"/>
  <w15:docId w15:val="{A9C66937-8FB7-463F-86B7-122E120A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FSTitle"/>
    <w:next w:val="Normal"/>
    <w:link w:val="Heading1Char"/>
    <w:uiPriority w:val="9"/>
    <w:qFormat/>
    <w:rsid w:val="006700E2"/>
    <w:pPr>
      <w:spacing w:after="240"/>
      <w:outlineLvl w:val="0"/>
    </w:pPr>
    <w:rPr>
      <w:b/>
      <w:sz w:val="36"/>
      <w:szCs w:val="36"/>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6700E2"/>
    <w:rPr>
      <w:rFonts w:ascii="Arial" w:hAnsi="Arial" w:cs="Tahoma"/>
      <w:b/>
      <w:bCs/>
      <w:sz w:val="36"/>
      <w:szCs w:val="36"/>
      <w:lang w:eastAsia="en-US" w:bidi="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SFootnote Text Char,Footnotes Text Char,FSFootnotes Text Char"/>
    <w:basedOn w:val="DefaultParagraphFont"/>
    <w:link w:val="FootnoteText"/>
    <w:rsid w:val="00C06318"/>
    <w:rPr>
      <w:rFonts w:ascii="Arial" w:hAnsi="Arial"/>
      <w:lang w:eastAsia="en-US" w:bidi="en-US"/>
    </w:rPr>
  </w:style>
  <w:style w:type="paragraph" w:styleId="ListParagraph">
    <w:name w:val="List Paragraph"/>
    <w:basedOn w:val="Normal"/>
    <w:uiPriority w:val="34"/>
    <w:qFormat/>
    <w:rsid w:val="00C06318"/>
    <w:pPr>
      <w:ind w:left="720"/>
      <w:contextualSpacing/>
    </w:pPr>
  </w:style>
  <w:style w:type="paragraph" w:customStyle="1" w:styleId="Default">
    <w:name w:val="Default"/>
    <w:rsid w:val="00C0631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7637BF"/>
    <w:rPr>
      <w:b/>
      <w:bCs/>
    </w:rPr>
  </w:style>
  <w:style w:type="character" w:customStyle="1" w:styleId="CommentSubjectChar">
    <w:name w:val="Comment Subject Char"/>
    <w:basedOn w:val="CommentTextChar"/>
    <w:link w:val="CommentSubject"/>
    <w:semiHidden/>
    <w:rsid w:val="007637BF"/>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www.accessdata.fda.gov/scripts/cdrh/cfdocs/cfcfr/CFRSearch.cfm?CFRPart=179&amp;showFR=1" TargetMode="External"/><Relationship Id="rId3" Type="http://schemas.openxmlformats.org/officeDocument/2006/relationships/customXml" Target="../customXml/item3.xml"/><Relationship Id="rId21" Type="http://schemas.openxmlformats.org/officeDocument/2006/relationships/hyperlink" Target="http://www.fao.org/fao-who-codexalimentarius/committees/committee/en/?committee=CCFH"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s://eur-lex.europa.eu/legal-content/EN/TXT/?qid=1552436019597&amp;uri=CELEX:31999L0003"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ao.org/fao-who-codexalimentarius/committees/committee/en/?committee=CCFH" TargetMode="External"/><Relationship Id="rId1" Type="http://schemas.openxmlformats.org/officeDocument/2006/relationships/customXml" Target="../customXml/item1.xml"/><Relationship Id="rId24" Type="http://schemas.openxmlformats.org/officeDocument/2006/relationships/hyperlink" Target="http://www.fao.org/fao-who-codexalimentarius/codex-texts/dbs/pestres/commodities/en/" TargetMode="External"/><Relationship Id="rId11" Type="http://schemas.openxmlformats.org/officeDocument/2006/relationships/settings" Target="settings.xml"/><Relationship Id="rId28" Type="http://schemas.openxmlformats.org/officeDocument/2006/relationships/theme" Target="theme/theme1.xml"/><Relationship Id="rId15" Type="http://schemas.openxmlformats.org/officeDocument/2006/relationships/image" Target="media/image1.png"/><Relationship Id="rId23" Type="http://schemas.openxmlformats.org/officeDocument/2006/relationships/hyperlink" Target="http://www.fao.org/fao-who-codexalimentarius/codex-texts/guidelines/en/" TargetMode="External"/><Relationship Id="rId10" Type="http://schemas.openxmlformats.org/officeDocument/2006/relationships/styles" Target="styles.xml"/><Relationship Id="rId19" Type="http://schemas.openxmlformats.org/officeDocument/2006/relationships/hyperlink" Target="https://laws-lois.justice.gc.ca/eng/regulations/c.r.c.,_c._870/page-87.html" TargetMode="External"/><Relationship Id="rId27"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ao.org/fao-who-codexalimentarius/codex-texts/miscellaneous/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da.gov/ICECI/ComplianceManuals/CompliancePolicyGuidanceManual/ucm0744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FAA9-9267-4DD2-B021-34A19DDD7070}"/>
</file>

<file path=customXml/itemProps2.xml><?xml version="1.0" encoding="utf-8"?>
<ds:datastoreItem xmlns:ds="http://schemas.openxmlformats.org/officeDocument/2006/customXml" ds:itemID="{8BCEDC71-8E12-41EB-9EA9-A313EAD6BA25}"/>
</file>

<file path=customXml/itemProps3.xml><?xml version="1.0" encoding="utf-8"?>
<ds:datastoreItem xmlns:ds="http://schemas.openxmlformats.org/officeDocument/2006/customXml" ds:itemID="{7D70E31A-D50F-489D-AB93-30D90BA2E4F1}"/>
</file>

<file path=customXml/itemProps4.xml><?xml version="1.0" encoding="utf-8"?>
<ds:datastoreItem xmlns:ds="http://schemas.openxmlformats.org/officeDocument/2006/customXml" ds:itemID="{BA49AD91-3A55-41D8-9471-62B6391AB32D}">
  <ds:schemaRefs>
    <ds:schemaRef ds:uri="http://schemas.microsoft.com/office/2006/metadata/customXsn"/>
  </ds:schemaRefs>
</ds:datastoreItem>
</file>

<file path=customXml/itemProps5.xml><?xml version="1.0" encoding="utf-8"?>
<ds:datastoreItem xmlns:ds="http://schemas.openxmlformats.org/officeDocument/2006/customXml" ds:itemID="{612587AE-5BD0-43A4-B961-671BCEE2DA5B}">
  <ds:schemaRefs>
    <ds:schemaRef ds:uri="Microsoft.SharePoint.Taxonomy.ContentTypeSync"/>
  </ds:schemaRefs>
</ds:datastoreItem>
</file>

<file path=customXml/itemProps6.xml><?xml version="1.0" encoding="utf-8"?>
<ds:datastoreItem xmlns:ds="http://schemas.openxmlformats.org/officeDocument/2006/customXml" ds:itemID="{3B5C7794-7FB0-4526-8F14-D119E93C38D6}"/>
</file>

<file path=customXml/itemProps7.xml><?xml version="1.0" encoding="utf-8"?>
<ds:datastoreItem xmlns:ds="http://schemas.openxmlformats.org/officeDocument/2006/customXml" ds:itemID="{DBE3C347-0266-4D31-960F-675595252EE3}"/>
</file>

<file path=customXml/itemProps8.xml><?xml version="1.0" encoding="utf-8"?>
<ds:datastoreItem xmlns:ds="http://schemas.openxmlformats.org/officeDocument/2006/customXml" ds:itemID="{0299AB21-522E-44A6-9348-389A834D32D7}"/>
</file>

<file path=docProps/app.xml><?xml version="1.0" encoding="utf-8"?>
<Properties xmlns="http://schemas.openxmlformats.org/officeDocument/2006/extended-properties" xmlns:vt="http://schemas.openxmlformats.org/officeDocument/2006/docPropsVTypes">
  <Template>Report - Supporting document</Template>
  <TotalTime>3</TotalTime>
  <Pages>7</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13233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chandc</dc:creator>
  <cp:keywords/>
  <cp:lastModifiedBy>CoughC</cp:lastModifiedBy>
  <cp:revision>4</cp:revision>
  <cp:lastPrinted>2019-04-15T01:37:00Z</cp:lastPrinted>
  <dcterms:created xsi:type="dcterms:W3CDTF">2019-10-21T02:58:00Z</dcterms:created>
  <dcterms:modified xsi:type="dcterms:W3CDTF">2019-10-21T03:02:00Z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0cef8e8e-d31a-4607-94fb-e2865db13655</vt:lpwstr>
  </property>
  <property fmtid="{D5CDD505-2E9C-101B-9397-08002B2CF9AE}" pid="6" name="DisposalClass">
    <vt:lpwstr/>
  </property>
  <property fmtid="{D5CDD505-2E9C-101B-9397-08002B2CF9AE}" pid="7" name="BCS_">
    <vt:lpwstr>609;#FOOD STANDARDS:Notifications|cb7eeb77-0baa-4e31-9d98-aad1478135c4</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